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B1136" w:rsidRDefault="007C53C8" w:rsidP="007C53C8">
      <w:pPr>
        <w:jc w:val="center"/>
      </w:pPr>
      <w:r w:rsidRPr="007C53C8">
        <w:rPr>
          <w:rFonts w:ascii="Calibri" w:eastAsia="Calibri" w:hAnsi="Calibri" w:cs="Times New Roman"/>
          <w:noProof/>
          <w:lang w:eastAsia="lt-LT"/>
        </w:rPr>
        <w:drawing>
          <wp:inline distT="0" distB="0" distL="0" distR="0" wp14:anchorId="101C7BAD" wp14:editId="2FC15F96">
            <wp:extent cx="1428750" cy="1428750"/>
            <wp:effectExtent l="0" t="0" r="0" b="0"/>
            <wp:docPr id="1"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VSB-1.png"/>
                    <pic:cNvPicPr/>
                  </pic:nvPicPr>
                  <pic:blipFill>
                    <a:blip r:embed="rId5">
                      <a:extLst>
                        <a:ext uri="{28A0092B-C50C-407E-A947-70E740481C1C}">
                          <a14:useLocalDpi xmlns:a14="http://schemas.microsoft.com/office/drawing/2010/main" val="0"/>
                        </a:ext>
                      </a:extLst>
                    </a:blip>
                    <a:stretch>
                      <a:fillRect/>
                    </a:stretch>
                  </pic:blipFill>
                  <pic:spPr>
                    <a:xfrm>
                      <a:off x="0" y="0"/>
                      <a:ext cx="1428750" cy="1428750"/>
                    </a:xfrm>
                    <a:prstGeom prst="rect">
                      <a:avLst/>
                    </a:prstGeom>
                  </pic:spPr>
                </pic:pic>
              </a:graphicData>
            </a:graphic>
          </wp:inline>
        </w:drawing>
      </w:r>
    </w:p>
    <w:p w:rsidR="007C53C8" w:rsidRDefault="007C53C8" w:rsidP="007C53C8">
      <w:pPr>
        <w:jc w:val="center"/>
      </w:pPr>
    </w:p>
    <w:p w:rsidR="00083AF6" w:rsidRDefault="00083AF6" w:rsidP="004458D1"/>
    <w:p w:rsidR="00083AF6" w:rsidRDefault="00083AF6" w:rsidP="007C53C8">
      <w:pPr>
        <w:jc w:val="center"/>
      </w:pPr>
    </w:p>
    <w:p w:rsidR="00083AF6" w:rsidRDefault="00083AF6" w:rsidP="007C53C8">
      <w:pPr>
        <w:jc w:val="center"/>
      </w:pPr>
    </w:p>
    <w:p w:rsidR="00083AF6" w:rsidRDefault="00083AF6" w:rsidP="007C53C8">
      <w:pPr>
        <w:jc w:val="center"/>
      </w:pPr>
    </w:p>
    <w:p w:rsidR="007C53C8" w:rsidRDefault="007C53C8" w:rsidP="007C53C8">
      <w:pPr>
        <w:jc w:val="center"/>
        <w:rPr>
          <w:rFonts w:ascii="Times New Roman" w:hAnsi="Times New Roman" w:cs="Times New Roman"/>
          <w:sz w:val="40"/>
          <w:szCs w:val="40"/>
        </w:rPr>
      </w:pPr>
      <w:r w:rsidRPr="00457B2D">
        <w:rPr>
          <w:rFonts w:ascii="Times New Roman" w:hAnsi="Times New Roman" w:cs="Times New Roman"/>
          <w:sz w:val="40"/>
          <w:szCs w:val="40"/>
        </w:rPr>
        <w:t xml:space="preserve">VARĖNOS RAJONO SAVIVALDYBĖS </w:t>
      </w:r>
      <w:r>
        <w:rPr>
          <w:rFonts w:ascii="Times New Roman" w:hAnsi="Times New Roman" w:cs="Times New Roman"/>
          <w:sz w:val="40"/>
          <w:szCs w:val="40"/>
        </w:rPr>
        <w:t xml:space="preserve">IKIMOKYKLINES </w:t>
      </w:r>
      <w:r w:rsidRPr="00457B2D">
        <w:rPr>
          <w:rFonts w:ascii="Times New Roman" w:hAnsi="Times New Roman" w:cs="Times New Roman"/>
          <w:sz w:val="40"/>
          <w:szCs w:val="40"/>
        </w:rPr>
        <w:t xml:space="preserve">UGDYMO </w:t>
      </w:r>
      <w:r>
        <w:rPr>
          <w:rFonts w:ascii="Times New Roman" w:hAnsi="Times New Roman" w:cs="Times New Roman"/>
          <w:sz w:val="40"/>
          <w:szCs w:val="40"/>
        </w:rPr>
        <w:t xml:space="preserve">ĮSTAIGAS LANKANČIŲ VAIKŲ </w:t>
      </w:r>
      <w:r w:rsidRPr="00457B2D">
        <w:rPr>
          <w:rFonts w:ascii="Times New Roman" w:hAnsi="Times New Roman" w:cs="Times New Roman"/>
          <w:sz w:val="40"/>
          <w:szCs w:val="40"/>
        </w:rPr>
        <w:t>PROFILAKTINIŲ SVEIKATOS PATIKRINIMŲ 2023 M. DUOMENŲ ANALIZĖ</w:t>
      </w:r>
    </w:p>
    <w:p w:rsidR="007C53C8" w:rsidRDefault="007C53C8" w:rsidP="007C53C8">
      <w:pPr>
        <w:jc w:val="center"/>
      </w:pPr>
    </w:p>
    <w:p w:rsidR="007C53C8" w:rsidRDefault="007C53C8" w:rsidP="007C53C8">
      <w:pPr>
        <w:jc w:val="center"/>
      </w:pPr>
    </w:p>
    <w:p w:rsidR="007C53C8" w:rsidRDefault="007C53C8" w:rsidP="007C53C8">
      <w:pPr>
        <w:jc w:val="center"/>
      </w:pPr>
    </w:p>
    <w:p w:rsidR="007C53C8" w:rsidRDefault="007C53C8" w:rsidP="007C53C8">
      <w:pPr>
        <w:jc w:val="center"/>
      </w:pPr>
    </w:p>
    <w:p w:rsidR="007C53C8" w:rsidRDefault="007C53C8" w:rsidP="007C53C8">
      <w:pPr>
        <w:jc w:val="center"/>
      </w:pPr>
    </w:p>
    <w:p w:rsidR="007C53C8" w:rsidRDefault="007C53C8" w:rsidP="007C53C8">
      <w:pPr>
        <w:jc w:val="center"/>
      </w:pPr>
    </w:p>
    <w:p w:rsidR="007C53C8" w:rsidRDefault="007C53C8" w:rsidP="007C53C8">
      <w:pPr>
        <w:jc w:val="center"/>
      </w:pPr>
    </w:p>
    <w:p w:rsidR="007C53C8" w:rsidRDefault="007C53C8" w:rsidP="007C53C8">
      <w:pPr>
        <w:jc w:val="center"/>
      </w:pPr>
    </w:p>
    <w:p w:rsidR="007C53C8" w:rsidRDefault="007C53C8" w:rsidP="007C53C8">
      <w:pPr>
        <w:jc w:val="center"/>
      </w:pPr>
    </w:p>
    <w:p w:rsidR="007C53C8" w:rsidRDefault="007C53C8" w:rsidP="007C53C8">
      <w:pPr>
        <w:jc w:val="center"/>
      </w:pPr>
    </w:p>
    <w:p w:rsidR="007C53C8" w:rsidRDefault="007C53C8" w:rsidP="007C53C8">
      <w:pPr>
        <w:jc w:val="center"/>
      </w:pPr>
    </w:p>
    <w:p w:rsidR="007C53C8" w:rsidRDefault="007C53C8" w:rsidP="007C53C8">
      <w:pPr>
        <w:jc w:val="center"/>
      </w:pPr>
    </w:p>
    <w:p w:rsidR="007C53C8" w:rsidRDefault="007C53C8" w:rsidP="007C53C8">
      <w:pPr>
        <w:jc w:val="center"/>
      </w:pPr>
    </w:p>
    <w:p w:rsidR="007C53C8" w:rsidRDefault="007C53C8" w:rsidP="007C53C8">
      <w:pPr>
        <w:jc w:val="center"/>
      </w:pPr>
    </w:p>
    <w:p w:rsidR="007C53C8" w:rsidRDefault="007C53C8" w:rsidP="007C53C8">
      <w:pPr>
        <w:jc w:val="center"/>
        <w:rPr>
          <w:rFonts w:ascii="Times New Roman" w:hAnsi="Times New Roman" w:cs="Times New Roman"/>
          <w:sz w:val="24"/>
          <w:szCs w:val="24"/>
        </w:rPr>
      </w:pPr>
      <w:r>
        <w:rPr>
          <w:rFonts w:ascii="Times New Roman" w:hAnsi="Times New Roman" w:cs="Times New Roman"/>
          <w:sz w:val="24"/>
          <w:szCs w:val="24"/>
        </w:rPr>
        <w:t>2023</w:t>
      </w:r>
    </w:p>
    <w:p w:rsidR="004458D1" w:rsidRDefault="004458D1" w:rsidP="00D225FD">
      <w:pPr>
        <w:jc w:val="center"/>
        <w:rPr>
          <w:rFonts w:ascii="Times New Roman" w:hAnsi="Times New Roman" w:cs="Times New Roman"/>
          <w:b/>
          <w:sz w:val="28"/>
          <w:szCs w:val="28"/>
        </w:rPr>
      </w:pPr>
    </w:p>
    <w:p w:rsidR="00D225FD" w:rsidRPr="003E49DE" w:rsidRDefault="00D225FD" w:rsidP="00D225FD">
      <w:pPr>
        <w:jc w:val="center"/>
        <w:rPr>
          <w:rFonts w:ascii="Times New Roman" w:hAnsi="Times New Roman" w:cs="Times New Roman"/>
          <w:b/>
          <w:sz w:val="28"/>
          <w:szCs w:val="28"/>
        </w:rPr>
      </w:pPr>
      <w:r w:rsidRPr="00457B2D">
        <w:rPr>
          <w:rFonts w:ascii="Times New Roman" w:hAnsi="Times New Roman" w:cs="Times New Roman"/>
          <w:b/>
          <w:sz w:val="28"/>
          <w:szCs w:val="28"/>
        </w:rPr>
        <w:lastRenderedPageBreak/>
        <w:t xml:space="preserve">ĮVADAS </w:t>
      </w:r>
    </w:p>
    <w:p w:rsidR="003E3CAB" w:rsidRPr="003E3CAB" w:rsidRDefault="003E3CAB" w:rsidP="003E3CAB">
      <w:pPr>
        <w:spacing w:after="0" w:line="360" w:lineRule="auto"/>
        <w:ind w:firstLine="851"/>
        <w:jc w:val="both"/>
        <w:rPr>
          <w:rFonts w:ascii="Times New Roman" w:hAnsi="Times New Roman" w:cs="Times New Roman"/>
          <w:sz w:val="24"/>
          <w:szCs w:val="24"/>
        </w:rPr>
      </w:pPr>
      <w:r w:rsidRPr="003E3CAB">
        <w:rPr>
          <w:rFonts w:ascii="Times New Roman" w:hAnsi="Times New Roman" w:cs="Times New Roman"/>
          <w:sz w:val="24"/>
          <w:szCs w:val="24"/>
        </w:rPr>
        <w:t>Kasmetiniai vaikų profilaktiniai patikrinimai atliekami vadovaujantis Lietuvos Respublikos Sveikatos apsaugos ministro 2000 m. gegužės 31 d. įsakymu Nr. 301 „Dėl profilaktinių sveikatos tikrinimų sveikatos priežiūros įstaigose“. Lietuvos Respublikos sveikatos apsaugos ministro 2016 m. sausio 26 d. įsakymu Nr. V-93 patvirtintos Lietuvos higienos normos HN 75:2016 „Ikimokyklinio ir priešmokyklinio ugdymo programų vykdymo bendrieji sveikatos saugos reikalavimai“ 79 punkte nurodyta, kad priimant vaiką į įstaigą ir vėliau kiekvienais metais turi būti pateiktas sveikatos pažymėjimas.</w:t>
      </w:r>
    </w:p>
    <w:p w:rsidR="004666E6" w:rsidRPr="004666E6" w:rsidRDefault="004666E6" w:rsidP="0086066F">
      <w:pPr>
        <w:spacing w:after="0" w:line="360" w:lineRule="auto"/>
        <w:ind w:firstLine="851"/>
        <w:jc w:val="both"/>
        <w:rPr>
          <w:rFonts w:ascii="Times New Roman" w:hAnsi="Times New Roman" w:cs="Times New Roman"/>
          <w:sz w:val="24"/>
          <w:szCs w:val="24"/>
        </w:rPr>
      </w:pPr>
      <w:r w:rsidRPr="004666E6">
        <w:rPr>
          <w:rFonts w:ascii="Times New Roman" w:hAnsi="Times New Roman" w:cs="Times New Roman"/>
          <w:sz w:val="24"/>
          <w:szCs w:val="24"/>
        </w:rPr>
        <w:t>Vadovaujantis sveikatos apsaugos ministro</w:t>
      </w:r>
      <w:r w:rsidR="003E3CAB" w:rsidRPr="003E3CAB">
        <w:t xml:space="preserve"> </w:t>
      </w:r>
      <w:r w:rsidR="003E3CAB" w:rsidRPr="003E3CAB">
        <w:rPr>
          <w:rFonts w:ascii="Times New Roman" w:hAnsi="Times New Roman" w:cs="Times New Roman"/>
          <w:sz w:val="24"/>
          <w:szCs w:val="24"/>
        </w:rPr>
        <w:t xml:space="preserve">2019 m. gegužės 14 d. įsakymu Nr. V-565 </w:t>
      </w:r>
      <w:r w:rsidRPr="004666E6">
        <w:rPr>
          <w:rFonts w:ascii="Times New Roman" w:hAnsi="Times New Roman" w:cs="Times New Roman"/>
          <w:sz w:val="24"/>
          <w:szCs w:val="24"/>
        </w:rPr>
        <w:t xml:space="preserve"> „Dėl elektroninės sveikatos paslaugų ir bendradarbiavimo infrastruktūros informacinės sistemos naudojimo tvarkos aprašo patvirtinimo“ pakeitimo“, nuo 2018 m. birželio 1 d. duomenys, susiję su mokinio sveikatos pažymėjimu, visose asmens sveikatos priežiūros įstaigose privalo būti tvarkomi elektroniniu būdu. Elektroniniu būdu užpildyti ir pasirašyti Pažymėjimai perduodami į Higienos instituto Vaikų sveikatos stebėsenos informacinę sistemą (VSS IS).</w:t>
      </w:r>
    </w:p>
    <w:p w:rsidR="004666E6" w:rsidRPr="004666E6" w:rsidRDefault="004666E6" w:rsidP="004666E6">
      <w:pPr>
        <w:spacing w:line="360" w:lineRule="auto"/>
        <w:ind w:firstLine="851"/>
        <w:jc w:val="both"/>
        <w:rPr>
          <w:rFonts w:ascii="Times New Roman" w:hAnsi="Times New Roman" w:cs="Times New Roman"/>
          <w:sz w:val="24"/>
          <w:szCs w:val="24"/>
        </w:rPr>
      </w:pPr>
    </w:p>
    <w:p w:rsidR="00D225FD" w:rsidRDefault="00D225FD" w:rsidP="00D225FD">
      <w:pPr>
        <w:spacing w:line="360" w:lineRule="auto"/>
        <w:ind w:firstLine="851"/>
        <w:jc w:val="both"/>
        <w:rPr>
          <w:rFonts w:ascii="Times New Roman" w:hAnsi="Times New Roman" w:cs="Times New Roman"/>
          <w:sz w:val="24"/>
          <w:szCs w:val="24"/>
        </w:rPr>
      </w:pPr>
    </w:p>
    <w:p w:rsidR="004666E6" w:rsidRDefault="004666E6" w:rsidP="00D225FD">
      <w:pPr>
        <w:spacing w:line="360" w:lineRule="auto"/>
        <w:ind w:firstLine="851"/>
        <w:jc w:val="both"/>
        <w:rPr>
          <w:rFonts w:ascii="Times New Roman" w:hAnsi="Times New Roman" w:cs="Times New Roman"/>
          <w:sz w:val="24"/>
          <w:szCs w:val="24"/>
        </w:rPr>
      </w:pPr>
    </w:p>
    <w:p w:rsidR="004666E6" w:rsidRDefault="004666E6" w:rsidP="00D225FD">
      <w:pPr>
        <w:spacing w:line="360" w:lineRule="auto"/>
        <w:ind w:firstLine="851"/>
        <w:jc w:val="both"/>
        <w:rPr>
          <w:rFonts w:ascii="Times New Roman" w:hAnsi="Times New Roman" w:cs="Times New Roman"/>
          <w:sz w:val="24"/>
          <w:szCs w:val="24"/>
        </w:rPr>
      </w:pPr>
    </w:p>
    <w:p w:rsidR="00D225FD" w:rsidRDefault="00D225FD" w:rsidP="007C53C8">
      <w:pPr>
        <w:jc w:val="center"/>
        <w:rPr>
          <w:rFonts w:ascii="Times New Roman" w:hAnsi="Times New Roman" w:cs="Times New Roman"/>
          <w:b/>
          <w:sz w:val="28"/>
          <w:szCs w:val="28"/>
        </w:rPr>
      </w:pPr>
    </w:p>
    <w:p w:rsidR="00D225FD" w:rsidRDefault="00D225FD" w:rsidP="007C53C8">
      <w:pPr>
        <w:jc w:val="center"/>
        <w:rPr>
          <w:rFonts w:ascii="Times New Roman" w:hAnsi="Times New Roman" w:cs="Times New Roman"/>
          <w:b/>
          <w:sz w:val="28"/>
          <w:szCs w:val="28"/>
        </w:rPr>
      </w:pPr>
    </w:p>
    <w:p w:rsidR="00D225FD" w:rsidRDefault="00D225FD" w:rsidP="007C53C8">
      <w:pPr>
        <w:jc w:val="center"/>
        <w:rPr>
          <w:rFonts w:ascii="Times New Roman" w:hAnsi="Times New Roman" w:cs="Times New Roman"/>
          <w:b/>
          <w:sz w:val="28"/>
          <w:szCs w:val="28"/>
        </w:rPr>
      </w:pPr>
    </w:p>
    <w:p w:rsidR="00D225FD" w:rsidRDefault="00D225FD" w:rsidP="007C53C8">
      <w:pPr>
        <w:jc w:val="center"/>
        <w:rPr>
          <w:rFonts w:ascii="Times New Roman" w:hAnsi="Times New Roman" w:cs="Times New Roman"/>
          <w:b/>
          <w:sz w:val="28"/>
          <w:szCs w:val="28"/>
        </w:rPr>
      </w:pPr>
    </w:p>
    <w:p w:rsidR="00D225FD" w:rsidRDefault="00D225FD" w:rsidP="007C53C8">
      <w:pPr>
        <w:jc w:val="center"/>
        <w:rPr>
          <w:rFonts w:ascii="Times New Roman" w:hAnsi="Times New Roman" w:cs="Times New Roman"/>
          <w:b/>
          <w:sz w:val="28"/>
          <w:szCs w:val="28"/>
        </w:rPr>
      </w:pPr>
    </w:p>
    <w:p w:rsidR="00D225FD" w:rsidRDefault="00D225FD" w:rsidP="007C53C8">
      <w:pPr>
        <w:jc w:val="center"/>
        <w:rPr>
          <w:rFonts w:ascii="Times New Roman" w:hAnsi="Times New Roman" w:cs="Times New Roman"/>
          <w:b/>
          <w:sz w:val="28"/>
          <w:szCs w:val="28"/>
        </w:rPr>
      </w:pPr>
    </w:p>
    <w:p w:rsidR="00D225FD" w:rsidRDefault="00D225FD" w:rsidP="007C53C8">
      <w:pPr>
        <w:jc w:val="center"/>
        <w:rPr>
          <w:rFonts w:ascii="Times New Roman" w:hAnsi="Times New Roman" w:cs="Times New Roman"/>
          <w:b/>
          <w:sz w:val="28"/>
          <w:szCs w:val="28"/>
        </w:rPr>
      </w:pPr>
    </w:p>
    <w:p w:rsidR="00D225FD" w:rsidRDefault="00D225FD" w:rsidP="007C53C8">
      <w:pPr>
        <w:jc w:val="center"/>
        <w:rPr>
          <w:rFonts w:ascii="Times New Roman" w:hAnsi="Times New Roman" w:cs="Times New Roman"/>
          <w:b/>
          <w:sz w:val="28"/>
          <w:szCs w:val="28"/>
        </w:rPr>
      </w:pPr>
    </w:p>
    <w:p w:rsidR="00D225FD" w:rsidRDefault="00D225FD" w:rsidP="007C53C8">
      <w:pPr>
        <w:jc w:val="center"/>
        <w:rPr>
          <w:rFonts w:ascii="Times New Roman" w:hAnsi="Times New Roman" w:cs="Times New Roman"/>
          <w:b/>
          <w:sz w:val="28"/>
          <w:szCs w:val="28"/>
        </w:rPr>
      </w:pPr>
    </w:p>
    <w:p w:rsidR="00D225FD" w:rsidRDefault="00D225FD" w:rsidP="007C53C8">
      <w:pPr>
        <w:jc w:val="center"/>
        <w:rPr>
          <w:rFonts w:ascii="Times New Roman" w:hAnsi="Times New Roman" w:cs="Times New Roman"/>
          <w:b/>
          <w:sz w:val="28"/>
          <w:szCs w:val="28"/>
        </w:rPr>
      </w:pPr>
    </w:p>
    <w:p w:rsidR="00D225FD" w:rsidRDefault="00D225FD" w:rsidP="007C53C8">
      <w:pPr>
        <w:jc w:val="center"/>
        <w:rPr>
          <w:rFonts w:ascii="Times New Roman" w:hAnsi="Times New Roman" w:cs="Times New Roman"/>
          <w:b/>
          <w:sz w:val="28"/>
          <w:szCs w:val="28"/>
        </w:rPr>
      </w:pPr>
    </w:p>
    <w:p w:rsidR="00D225FD" w:rsidRDefault="00D225FD" w:rsidP="007C53C8">
      <w:pPr>
        <w:jc w:val="center"/>
        <w:rPr>
          <w:rFonts w:ascii="Times New Roman" w:hAnsi="Times New Roman" w:cs="Times New Roman"/>
          <w:b/>
          <w:sz w:val="28"/>
          <w:szCs w:val="28"/>
        </w:rPr>
      </w:pPr>
    </w:p>
    <w:p w:rsidR="00D225FD" w:rsidRDefault="00D225FD" w:rsidP="007C53C8">
      <w:pPr>
        <w:jc w:val="center"/>
        <w:rPr>
          <w:rFonts w:ascii="Times New Roman" w:hAnsi="Times New Roman" w:cs="Times New Roman"/>
          <w:b/>
          <w:sz w:val="28"/>
          <w:szCs w:val="28"/>
        </w:rPr>
      </w:pPr>
    </w:p>
    <w:p w:rsidR="007C53C8" w:rsidRPr="00125AA3" w:rsidRDefault="007C53C8" w:rsidP="007C53C8">
      <w:pPr>
        <w:jc w:val="center"/>
        <w:rPr>
          <w:rFonts w:ascii="Times New Roman" w:hAnsi="Times New Roman" w:cs="Times New Roman"/>
          <w:b/>
          <w:sz w:val="28"/>
          <w:szCs w:val="28"/>
        </w:rPr>
      </w:pPr>
      <w:r w:rsidRPr="00125AA3">
        <w:rPr>
          <w:rFonts w:ascii="Times New Roman" w:hAnsi="Times New Roman" w:cs="Times New Roman"/>
          <w:b/>
          <w:sz w:val="28"/>
          <w:szCs w:val="28"/>
        </w:rPr>
        <w:t>Profilaktiškai sveikatą pasitikrinę ir visiškai sveiki vaikai</w:t>
      </w:r>
    </w:p>
    <w:p w:rsidR="007C53C8" w:rsidRDefault="00C22D75" w:rsidP="00D225FD">
      <w:pPr>
        <w:spacing w:line="360" w:lineRule="auto"/>
        <w:ind w:firstLine="851"/>
        <w:jc w:val="both"/>
        <w:rPr>
          <w:rFonts w:ascii="Times New Roman" w:eastAsia="Times New Roman" w:hAnsi="Times New Roman"/>
          <w:color w:val="000000"/>
          <w:sz w:val="24"/>
          <w:szCs w:val="24"/>
        </w:rPr>
      </w:pPr>
      <w:r w:rsidRPr="00C22D75">
        <w:rPr>
          <w:rFonts w:ascii="Times New Roman" w:hAnsi="Times New Roman" w:cs="Times New Roman"/>
          <w:sz w:val="24"/>
          <w:szCs w:val="24"/>
        </w:rPr>
        <w:t>Remiantis Higienos instituto Vaikų sveikatos stebėsenos informacinės sistemos (VSS IS) pateiktais duomenimis, 2023 m. Varėnos rajono savivaldybės ikimokyklinio ugdymo įstaigas lankė 634 vaikai, iš jų pristačiusių formą Nr. E027-1, buvo - 62,78 proc.</w:t>
      </w:r>
      <w:r>
        <w:rPr>
          <w:rFonts w:ascii="Times New Roman" w:hAnsi="Times New Roman" w:cs="Times New Roman"/>
          <w:sz w:val="24"/>
          <w:szCs w:val="24"/>
        </w:rPr>
        <w:t xml:space="preserve"> </w:t>
      </w:r>
      <w:r>
        <w:rPr>
          <w:rFonts w:ascii="Times New Roman" w:eastAsia="Times New Roman" w:hAnsi="Times New Roman"/>
          <w:color w:val="000000"/>
          <w:sz w:val="24"/>
          <w:szCs w:val="24"/>
        </w:rPr>
        <w:t xml:space="preserve">Vaikų, kurių formos </w:t>
      </w:r>
      <w:r w:rsidR="00201D58">
        <w:rPr>
          <w:rFonts w:ascii="Times New Roman" w:eastAsia="Times New Roman" w:hAnsi="Times New Roman"/>
          <w:color w:val="000000"/>
          <w:sz w:val="24"/>
          <w:szCs w:val="24"/>
        </w:rPr>
        <w:t xml:space="preserve">Nr. E027-1 I dalis „Fizinės būklės </w:t>
      </w:r>
      <w:proofErr w:type="spellStart"/>
      <w:r w:rsidR="00201D58">
        <w:rPr>
          <w:rFonts w:ascii="Times New Roman" w:eastAsia="Times New Roman" w:hAnsi="Times New Roman"/>
          <w:color w:val="000000"/>
          <w:sz w:val="24"/>
          <w:szCs w:val="24"/>
        </w:rPr>
        <w:t>įvertinima</w:t>
      </w:r>
      <w:proofErr w:type="spellEnd"/>
      <w:r w:rsidR="00201D58">
        <w:rPr>
          <w:rFonts w:ascii="Times New Roman" w:eastAsia="Times New Roman" w:hAnsi="Times New Roman"/>
          <w:color w:val="000000"/>
          <w:sz w:val="24"/>
          <w:szCs w:val="24"/>
        </w:rPr>
        <w:t>“</w:t>
      </w:r>
      <w:r w:rsidRPr="00C22D75">
        <w:rPr>
          <w:rFonts w:ascii="Times New Roman" w:eastAsia="Times New Roman" w:hAnsi="Times New Roman"/>
          <w:color w:val="000000"/>
          <w:sz w:val="24"/>
          <w:szCs w:val="24"/>
        </w:rPr>
        <w:t xml:space="preserve"> </w:t>
      </w:r>
      <w:r>
        <w:rPr>
          <w:rFonts w:ascii="Times New Roman" w:eastAsia="Times New Roman" w:hAnsi="Times New Roman"/>
          <w:color w:val="000000"/>
          <w:sz w:val="24"/>
          <w:szCs w:val="24"/>
        </w:rPr>
        <w:t xml:space="preserve">užpildyta buvo </w:t>
      </w:r>
      <w:r w:rsidRPr="00C22D75">
        <w:rPr>
          <w:rFonts w:ascii="Times New Roman" w:eastAsia="Times New Roman" w:hAnsi="Times New Roman"/>
          <w:color w:val="000000"/>
          <w:sz w:val="24"/>
          <w:szCs w:val="24"/>
        </w:rPr>
        <w:t>93,38</w:t>
      </w:r>
      <w:r>
        <w:rPr>
          <w:rFonts w:ascii="Times New Roman" w:eastAsia="Times New Roman" w:hAnsi="Times New Roman"/>
          <w:color w:val="000000"/>
          <w:sz w:val="24"/>
          <w:szCs w:val="24"/>
        </w:rPr>
        <w:t xml:space="preserve"> proc. Vaikų</w:t>
      </w:r>
      <w:r w:rsidRPr="00C22D75">
        <w:rPr>
          <w:rFonts w:ascii="Times New Roman" w:eastAsia="Times New Roman" w:hAnsi="Times New Roman"/>
          <w:color w:val="000000"/>
          <w:sz w:val="24"/>
          <w:szCs w:val="24"/>
        </w:rPr>
        <w:t>, kurių formos  Nr. E027-1 II dalis "Dantų ir žandikauli</w:t>
      </w:r>
      <w:r>
        <w:rPr>
          <w:rFonts w:ascii="Times New Roman" w:eastAsia="Times New Roman" w:hAnsi="Times New Roman"/>
          <w:color w:val="000000"/>
          <w:sz w:val="24"/>
          <w:szCs w:val="24"/>
        </w:rPr>
        <w:t xml:space="preserve">ų būklės įvertinimas" užpildyta buvo </w:t>
      </w:r>
      <w:r w:rsidRPr="00C22D75">
        <w:rPr>
          <w:rFonts w:ascii="Times New Roman" w:eastAsia="Times New Roman" w:hAnsi="Times New Roman"/>
          <w:color w:val="000000"/>
          <w:sz w:val="24"/>
          <w:szCs w:val="24"/>
        </w:rPr>
        <w:t>64,04</w:t>
      </w:r>
      <w:r>
        <w:rPr>
          <w:rFonts w:ascii="Times New Roman" w:eastAsia="Times New Roman" w:hAnsi="Times New Roman"/>
          <w:color w:val="000000"/>
          <w:sz w:val="24"/>
          <w:szCs w:val="24"/>
        </w:rPr>
        <w:t xml:space="preserve"> proc. </w:t>
      </w:r>
      <w:r w:rsidR="00B67A5E">
        <w:rPr>
          <w:rFonts w:ascii="Times New Roman" w:eastAsia="Times New Roman" w:hAnsi="Times New Roman"/>
          <w:color w:val="000000"/>
          <w:sz w:val="24"/>
          <w:szCs w:val="24"/>
        </w:rPr>
        <w:t>Ana</w:t>
      </w:r>
      <w:r w:rsidR="00B3325F">
        <w:rPr>
          <w:rFonts w:ascii="Times New Roman" w:eastAsia="Times New Roman" w:hAnsi="Times New Roman"/>
          <w:color w:val="000000"/>
          <w:sz w:val="24"/>
          <w:szCs w:val="24"/>
        </w:rPr>
        <w:t xml:space="preserve">lizuojant trijų metų rodiklius stebimas didėjimas (1 pav.) </w:t>
      </w:r>
    </w:p>
    <w:p w:rsidR="00B67A5E" w:rsidRDefault="00B67A5E" w:rsidP="00C22D75">
      <w:pPr>
        <w:rPr>
          <w:rFonts w:ascii="Times New Roman" w:eastAsia="Times New Roman" w:hAnsi="Times New Roman"/>
          <w:color w:val="000000"/>
          <w:sz w:val="24"/>
          <w:szCs w:val="24"/>
        </w:rPr>
      </w:pPr>
      <w:r>
        <w:rPr>
          <w:noProof/>
          <w:lang w:eastAsia="lt-LT"/>
        </w:rPr>
        <w:drawing>
          <wp:inline distT="0" distB="0" distL="0" distR="0" wp14:anchorId="5BDD8621" wp14:editId="11A94C0B">
            <wp:extent cx="5848350" cy="3219450"/>
            <wp:effectExtent l="0" t="0" r="0" b="0"/>
            <wp:docPr id="2" name="Diagrama 2"/>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p>
    <w:p w:rsidR="00C22D75" w:rsidRDefault="00B3325F" w:rsidP="00D225FD">
      <w:pPr>
        <w:jc w:val="center"/>
        <w:rPr>
          <w:rFonts w:ascii="Times New Roman" w:hAnsi="Times New Roman" w:cs="Times New Roman"/>
          <w:sz w:val="24"/>
          <w:szCs w:val="24"/>
        </w:rPr>
      </w:pPr>
      <w:r w:rsidRPr="00B3325F">
        <w:rPr>
          <w:rFonts w:ascii="Times New Roman" w:hAnsi="Times New Roman" w:cs="Times New Roman"/>
          <w:sz w:val="24"/>
          <w:szCs w:val="24"/>
        </w:rPr>
        <w:t>1 pa</w:t>
      </w:r>
      <w:r>
        <w:rPr>
          <w:rFonts w:ascii="Times New Roman" w:hAnsi="Times New Roman" w:cs="Times New Roman"/>
          <w:sz w:val="24"/>
          <w:szCs w:val="24"/>
        </w:rPr>
        <w:t xml:space="preserve">v. Varėnos rajono savivaldybės </w:t>
      </w:r>
      <w:proofErr w:type="spellStart"/>
      <w:r>
        <w:rPr>
          <w:rFonts w:ascii="Times New Roman" w:hAnsi="Times New Roman" w:cs="Times New Roman"/>
          <w:sz w:val="24"/>
          <w:szCs w:val="24"/>
        </w:rPr>
        <w:t>ikimokyklionio</w:t>
      </w:r>
      <w:proofErr w:type="spellEnd"/>
      <w:r w:rsidRPr="00B3325F">
        <w:rPr>
          <w:rFonts w:ascii="Times New Roman" w:hAnsi="Times New Roman" w:cs="Times New Roman"/>
          <w:sz w:val="24"/>
          <w:szCs w:val="24"/>
        </w:rPr>
        <w:t xml:space="preserve"> ugdymo mokinių pristačiusių/nepristačiusių formą Nr. E027-1 trijų metų palyginimas (proc.).</w:t>
      </w:r>
    </w:p>
    <w:p w:rsidR="00B3325F" w:rsidRDefault="00B3325F" w:rsidP="00D225FD">
      <w:pPr>
        <w:jc w:val="center"/>
        <w:rPr>
          <w:rFonts w:ascii="Times New Roman" w:hAnsi="Times New Roman" w:cs="Times New Roman"/>
          <w:sz w:val="24"/>
          <w:szCs w:val="24"/>
        </w:rPr>
      </w:pPr>
    </w:p>
    <w:p w:rsidR="00C40D38" w:rsidRPr="00125AA3" w:rsidRDefault="00DD0016" w:rsidP="00C40D38">
      <w:pPr>
        <w:spacing w:line="360" w:lineRule="auto"/>
        <w:jc w:val="center"/>
        <w:rPr>
          <w:rFonts w:ascii="Times New Roman" w:hAnsi="Times New Roman" w:cs="Times New Roman"/>
          <w:b/>
          <w:sz w:val="28"/>
          <w:szCs w:val="28"/>
        </w:rPr>
      </w:pPr>
      <w:r>
        <w:rPr>
          <w:rFonts w:ascii="Times New Roman" w:hAnsi="Times New Roman" w:cs="Times New Roman"/>
          <w:b/>
          <w:sz w:val="28"/>
          <w:szCs w:val="28"/>
        </w:rPr>
        <w:t xml:space="preserve">Vaikų </w:t>
      </w:r>
      <w:r w:rsidR="00C40D38" w:rsidRPr="00125AA3">
        <w:rPr>
          <w:rFonts w:ascii="Times New Roman" w:hAnsi="Times New Roman" w:cs="Times New Roman"/>
          <w:b/>
          <w:sz w:val="28"/>
          <w:szCs w:val="28"/>
        </w:rPr>
        <w:t>dantų vertinimo indekso intensyvumo rodiklis</w:t>
      </w:r>
    </w:p>
    <w:p w:rsidR="00C40D38" w:rsidRDefault="00C40D38" w:rsidP="00201D58">
      <w:pPr>
        <w:spacing w:after="0" w:line="360" w:lineRule="auto"/>
        <w:ind w:firstLine="851"/>
        <w:jc w:val="both"/>
        <w:rPr>
          <w:rFonts w:ascii="Times New Roman" w:hAnsi="Times New Roman" w:cs="Times New Roman"/>
          <w:sz w:val="24"/>
          <w:szCs w:val="24"/>
        </w:rPr>
      </w:pPr>
      <w:r>
        <w:rPr>
          <w:rFonts w:ascii="Times New Roman" w:hAnsi="Times New Roman" w:cs="Times New Roman"/>
          <w:sz w:val="24"/>
          <w:szCs w:val="24"/>
        </w:rPr>
        <w:t xml:space="preserve">Mokinių </w:t>
      </w:r>
      <w:r w:rsidRPr="00444B42">
        <w:rPr>
          <w:rFonts w:ascii="Times New Roman" w:hAnsi="Times New Roman" w:cs="Times New Roman"/>
          <w:sz w:val="24"/>
          <w:szCs w:val="24"/>
        </w:rPr>
        <w:t>dantų būklės vertinimui naudojamas dantų ėduonies intensyvumo rodiklis (</w:t>
      </w:r>
      <w:proofErr w:type="spellStart"/>
      <w:r w:rsidRPr="00444B42">
        <w:rPr>
          <w:rFonts w:ascii="Times New Roman" w:hAnsi="Times New Roman" w:cs="Times New Roman"/>
          <w:sz w:val="24"/>
          <w:szCs w:val="24"/>
        </w:rPr>
        <w:t>kpi+KPI</w:t>
      </w:r>
      <w:proofErr w:type="spellEnd"/>
      <w:r w:rsidRPr="00444B42">
        <w:rPr>
          <w:rFonts w:ascii="Times New Roman" w:hAnsi="Times New Roman" w:cs="Times New Roman"/>
          <w:sz w:val="24"/>
          <w:szCs w:val="24"/>
        </w:rPr>
        <w:t xml:space="preserve"> indeksas), kuris išreiškiamas ėduonies pažeistų (</w:t>
      </w:r>
      <w:proofErr w:type="spellStart"/>
      <w:r w:rsidRPr="00444B42">
        <w:rPr>
          <w:rFonts w:ascii="Times New Roman" w:hAnsi="Times New Roman" w:cs="Times New Roman"/>
          <w:sz w:val="24"/>
          <w:szCs w:val="24"/>
        </w:rPr>
        <w:t>kariozinių</w:t>
      </w:r>
      <w:proofErr w:type="spellEnd"/>
      <w:r w:rsidRPr="00444B42">
        <w:rPr>
          <w:rFonts w:ascii="Times New Roman" w:hAnsi="Times New Roman" w:cs="Times New Roman"/>
          <w:sz w:val="24"/>
          <w:szCs w:val="24"/>
        </w:rPr>
        <w:t xml:space="preserve">, plombuotų ir išrautų) dantų skaičiumi, tenkančiu vienam asmeniui; </w:t>
      </w:r>
      <w:proofErr w:type="spellStart"/>
      <w:r w:rsidRPr="00444B42">
        <w:rPr>
          <w:rFonts w:ascii="Times New Roman" w:hAnsi="Times New Roman" w:cs="Times New Roman"/>
          <w:sz w:val="24"/>
          <w:szCs w:val="24"/>
        </w:rPr>
        <w:t>kpi</w:t>
      </w:r>
      <w:proofErr w:type="spellEnd"/>
      <w:r w:rsidRPr="00444B42">
        <w:rPr>
          <w:rFonts w:ascii="Times New Roman" w:hAnsi="Times New Roman" w:cs="Times New Roman"/>
          <w:sz w:val="24"/>
          <w:szCs w:val="24"/>
        </w:rPr>
        <w:t xml:space="preserve"> – </w:t>
      </w:r>
      <w:proofErr w:type="spellStart"/>
      <w:r w:rsidRPr="00444B42">
        <w:rPr>
          <w:rFonts w:ascii="Times New Roman" w:hAnsi="Times New Roman" w:cs="Times New Roman"/>
          <w:sz w:val="24"/>
          <w:szCs w:val="24"/>
        </w:rPr>
        <w:t>kariozinių</w:t>
      </w:r>
      <w:proofErr w:type="spellEnd"/>
      <w:r w:rsidRPr="00444B42">
        <w:rPr>
          <w:rFonts w:ascii="Times New Roman" w:hAnsi="Times New Roman" w:cs="Times New Roman"/>
          <w:sz w:val="24"/>
          <w:szCs w:val="24"/>
        </w:rPr>
        <w:t xml:space="preserve">, plombuotų ir dėl ėduonies išrautų pieninių dantų skaičius; KPI – </w:t>
      </w:r>
      <w:proofErr w:type="spellStart"/>
      <w:r w:rsidRPr="00444B42">
        <w:rPr>
          <w:rFonts w:ascii="Times New Roman" w:hAnsi="Times New Roman" w:cs="Times New Roman"/>
          <w:sz w:val="24"/>
          <w:szCs w:val="24"/>
        </w:rPr>
        <w:t>kariozinių</w:t>
      </w:r>
      <w:proofErr w:type="spellEnd"/>
      <w:r w:rsidRPr="00444B42">
        <w:rPr>
          <w:rFonts w:ascii="Times New Roman" w:hAnsi="Times New Roman" w:cs="Times New Roman"/>
          <w:sz w:val="24"/>
          <w:szCs w:val="24"/>
        </w:rPr>
        <w:t xml:space="preserve">, plombuotų bei dėl ėduonies ištrauktų nuolatinių dantų skaičius. Pagal PSO, kai </w:t>
      </w:r>
      <w:proofErr w:type="spellStart"/>
      <w:r w:rsidRPr="00444B42">
        <w:rPr>
          <w:rFonts w:ascii="Times New Roman" w:hAnsi="Times New Roman" w:cs="Times New Roman"/>
          <w:sz w:val="24"/>
          <w:szCs w:val="24"/>
        </w:rPr>
        <w:t>kpi+KPI</w:t>
      </w:r>
      <w:proofErr w:type="spellEnd"/>
      <w:r w:rsidRPr="00444B42">
        <w:rPr>
          <w:rFonts w:ascii="Times New Roman" w:hAnsi="Times New Roman" w:cs="Times New Roman"/>
          <w:sz w:val="24"/>
          <w:szCs w:val="24"/>
        </w:rPr>
        <w:t xml:space="preserve"> reikšmė 6,5 – labai aukštą.</w:t>
      </w:r>
    </w:p>
    <w:p w:rsidR="006F532A" w:rsidRDefault="00C40D38" w:rsidP="00201D58">
      <w:pPr>
        <w:spacing w:after="0" w:line="360" w:lineRule="auto"/>
        <w:ind w:firstLine="851"/>
        <w:jc w:val="both"/>
        <w:rPr>
          <w:rFonts w:ascii="Times New Roman" w:hAnsi="Times New Roman" w:cs="Times New Roman"/>
          <w:sz w:val="24"/>
          <w:szCs w:val="24"/>
        </w:rPr>
      </w:pPr>
      <w:r w:rsidRPr="00444B42">
        <w:rPr>
          <w:rFonts w:ascii="Times New Roman" w:hAnsi="Times New Roman" w:cs="Times New Roman"/>
          <w:sz w:val="24"/>
          <w:szCs w:val="24"/>
        </w:rPr>
        <w:lastRenderedPageBreak/>
        <w:t xml:space="preserve">Įvertinus </w:t>
      </w:r>
      <w:r>
        <w:rPr>
          <w:rFonts w:ascii="Times New Roman" w:hAnsi="Times New Roman" w:cs="Times New Roman"/>
          <w:sz w:val="24"/>
          <w:szCs w:val="24"/>
        </w:rPr>
        <w:t xml:space="preserve">vaikų </w:t>
      </w:r>
      <w:r w:rsidRPr="00444B42">
        <w:rPr>
          <w:rFonts w:ascii="Times New Roman" w:hAnsi="Times New Roman" w:cs="Times New Roman"/>
          <w:sz w:val="24"/>
          <w:szCs w:val="24"/>
        </w:rPr>
        <w:t>pieninių ir nuolatinių dantų ėduonies intensyvumo in</w:t>
      </w:r>
      <w:r>
        <w:rPr>
          <w:rFonts w:ascii="Times New Roman" w:hAnsi="Times New Roman" w:cs="Times New Roman"/>
          <w:sz w:val="24"/>
          <w:szCs w:val="24"/>
        </w:rPr>
        <w:t>deksą (</w:t>
      </w:r>
      <w:proofErr w:type="spellStart"/>
      <w:r>
        <w:rPr>
          <w:rFonts w:ascii="Times New Roman" w:hAnsi="Times New Roman" w:cs="Times New Roman"/>
          <w:sz w:val="24"/>
          <w:szCs w:val="24"/>
        </w:rPr>
        <w:t>kpi+KPI</w:t>
      </w:r>
      <w:proofErr w:type="spellEnd"/>
      <w:r>
        <w:rPr>
          <w:rFonts w:ascii="Times New Roman" w:hAnsi="Times New Roman" w:cs="Times New Roman"/>
          <w:sz w:val="24"/>
          <w:szCs w:val="24"/>
        </w:rPr>
        <w:t>) 2023</w:t>
      </w:r>
      <w:r w:rsidRPr="00444B42">
        <w:rPr>
          <w:rFonts w:ascii="Times New Roman" w:hAnsi="Times New Roman" w:cs="Times New Roman"/>
          <w:sz w:val="24"/>
          <w:szCs w:val="24"/>
        </w:rPr>
        <w:t xml:space="preserve"> metais </w:t>
      </w:r>
      <w:r>
        <w:rPr>
          <w:rFonts w:ascii="Times New Roman" w:hAnsi="Times New Roman" w:cs="Times New Roman"/>
          <w:sz w:val="24"/>
          <w:szCs w:val="24"/>
        </w:rPr>
        <w:t>Varėnos rajono vaikų</w:t>
      </w:r>
      <w:r w:rsidR="00B3325F">
        <w:rPr>
          <w:rFonts w:ascii="Times New Roman" w:hAnsi="Times New Roman" w:cs="Times New Roman"/>
          <w:sz w:val="24"/>
          <w:szCs w:val="24"/>
        </w:rPr>
        <w:t xml:space="preserve"> a</w:t>
      </w:r>
      <w:r w:rsidRPr="00444B42">
        <w:rPr>
          <w:rFonts w:ascii="Times New Roman" w:hAnsi="Times New Roman" w:cs="Times New Roman"/>
          <w:sz w:val="24"/>
          <w:szCs w:val="24"/>
        </w:rPr>
        <w:t>ukšč</w:t>
      </w:r>
      <w:r w:rsidR="00B3325F">
        <w:rPr>
          <w:rFonts w:ascii="Times New Roman" w:hAnsi="Times New Roman" w:cs="Times New Roman"/>
          <w:sz w:val="24"/>
          <w:szCs w:val="24"/>
        </w:rPr>
        <w:t xml:space="preserve">iausias </w:t>
      </w:r>
      <w:proofErr w:type="spellStart"/>
      <w:r w:rsidR="00B3325F">
        <w:rPr>
          <w:rFonts w:ascii="Times New Roman" w:hAnsi="Times New Roman" w:cs="Times New Roman"/>
          <w:sz w:val="24"/>
          <w:szCs w:val="24"/>
        </w:rPr>
        <w:t>kpi+KPI</w:t>
      </w:r>
      <w:proofErr w:type="spellEnd"/>
      <w:r w:rsidR="00B3325F">
        <w:rPr>
          <w:rFonts w:ascii="Times New Roman" w:hAnsi="Times New Roman" w:cs="Times New Roman"/>
          <w:sz w:val="24"/>
          <w:szCs w:val="24"/>
        </w:rPr>
        <w:t xml:space="preserve"> indeksas buvo 5</w:t>
      </w:r>
      <w:r w:rsidRPr="00444B42">
        <w:rPr>
          <w:rFonts w:ascii="Times New Roman" w:hAnsi="Times New Roman" w:cs="Times New Roman"/>
          <w:sz w:val="24"/>
          <w:szCs w:val="24"/>
        </w:rPr>
        <w:t xml:space="preserve"> metų am</w:t>
      </w:r>
      <w:r>
        <w:rPr>
          <w:rFonts w:ascii="Times New Roman" w:hAnsi="Times New Roman" w:cs="Times New Roman"/>
          <w:sz w:val="24"/>
          <w:szCs w:val="24"/>
        </w:rPr>
        <w:t>žiaus grupėje, o žemiausias –</w:t>
      </w:r>
      <w:r w:rsidR="00B3325F">
        <w:rPr>
          <w:rFonts w:ascii="Times New Roman" w:hAnsi="Times New Roman" w:cs="Times New Roman"/>
          <w:sz w:val="24"/>
          <w:szCs w:val="24"/>
        </w:rPr>
        <w:t xml:space="preserve"> 4 metų amžiaus grupėje (2</w:t>
      </w:r>
      <w:r>
        <w:rPr>
          <w:rFonts w:ascii="Times New Roman" w:hAnsi="Times New Roman" w:cs="Times New Roman"/>
          <w:sz w:val="24"/>
          <w:szCs w:val="24"/>
        </w:rPr>
        <w:t xml:space="preserve"> pav.).</w:t>
      </w:r>
    </w:p>
    <w:p w:rsidR="00B3325F" w:rsidRDefault="00C40D38" w:rsidP="00B3325F">
      <w:pPr>
        <w:jc w:val="center"/>
        <w:rPr>
          <w:rFonts w:ascii="Times New Roman" w:hAnsi="Times New Roman" w:cs="Times New Roman"/>
          <w:sz w:val="24"/>
          <w:szCs w:val="24"/>
        </w:rPr>
      </w:pPr>
      <w:r>
        <w:rPr>
          <w:noProof/>
          <w:lang w:eastAsia="lt-LT"/>
        </w:rPr>
        <w:drawing>
          <wp:inline distT="0" distB="0" distL="0" distR="0" wp14:anchorId="100E8E3A" wp14:editId="6AC08181">
            <wp:extent cx="4775200" cy="3092450"/>
            <wp:effectExtent l="0" t="0" r="6350" b="12700"/>
            <wp:docPr id="3" name="Diagrama 3"/>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rsidR="00B3325F" w:rsidRDefault="00B3325F" w:rsidP="00B3325F">
      <w:pPr>
        <w:jc w:val="center"/>
        <w:rPr>
          <w:rFonts w:ascii="Times New Roman" w:hAnsi="Times New Roman" w:cs="Times New Roman"/>
          <w:sz w:val="24"/>
          <w:szCs w:val="24"/>
        </w:rPr>
      </w:pPr>
      <w:r>
        <w:rPr>
          <w:rFonts w:ascii="Times New Roman" w:hAnsi="Times New Roman" w:cs="Times New Roman"/>
          <w:sz w:val="24"/>
          <w:szCs w:val="24"/>
        </w:rPr>
        <w:t xml:space="preserve">2 pav. </w:t>
      </w:r>
      <w:proofErr w:type="spellStart"/>
      <w:r w:rsidRPr="00B3325F">
        <w:rPr>
          <w:rFonts w:ascii="Times New Roman" w:hAnsi="Times New Roman" w:cs="Times New Roman"/>
          <w:sz w:val="24"/>
          <w:szCs w:val="24"/>
        </w:rPr>
        <w:t>KPI+kpi</w:t>
      </w:r>
      <w:proofErr w:type="spellEnd"/>
      <w:r w:rsidRPr="00B3325F">
        <w:rPr>
          <w:rFonts w:ascii="Times New Roman" w:hAnsi="Times New Roman" w:cs="Times New Roman"/>
          <w:sz w:val="24"/>
          <w:szCs w:val="24"/>
        </w:rPr>
        <w:t xml:space="preserve"> indekso pasiskirstymas pagal amžių, 2022 m. Šaltinis: Vaikų sveikatos stebėsenos informacinė sistema (VSS IS)</w:t>
      </w:r>
      <w:r>
        <w:rPr>
          <w:rFonts w:ascii="Times New Roman" w:hAnsi="Times New Roman" w:cs="Times New Roman"/>
          <w:sz w:val="24"/>
          <w:szCs w:val="24"/>
        </w:rPr>
        <w:t xml:space="preserve">. </w:t>
      </w:r>
    </w:p>
    <w:p w:rsidR="00423FD9" w:rsidRDefault="00423FD9" w:rsidP="00B3325F">
      <w:pPr>
        <w:jc w:val="center"/>
        <w:rPr>
          <w:rFonts w:ascii="Times New Roman" w:hAnsi="Times New Roman" w:cs="Times New Roman"/>
          <w:sz w:val="24"/>
          <w:szCs w:val="24"/>
        </w:rPr>
      </w:pPr>
    </w:p>
    <w:p w:rsidR="00D225FD" w:rsidRDefault="00DD0016" w:rsidP="00D225FD">
      <w:pPr>
        <w:jc w:val="center"/>
        <w:rPr>
          <w:rFonts w:ascii="Times New Roman" w:hAnsi="Times New Roman" w:cs="Times New Roman"/>
          <w:b/>
          <w:sz w:val="28"/>
          <w:szCs w:val="28"/>
        </w:rPr>
      </w:pPr>
      <w:r>
        <w:rPr>
          <w:rFonts w:ascii="Times New Roman" w:hAnsi="Times New Roman" w:cs="Times New Roman"/>
          <w:b/>
          <w:sz w:val="28"/>
          <w:szCs w:val="28"/>
        </w:rPr>
        <w:t xml:space="preserve">Vaikų </w:t>
      </w:r>
      <w:r w:rsidR="002B35EE" w:rsidRPr="002B35EE">
        <w:rPr>
          <w:rFonts w:ascii="Times New Roman" w:hAnsi="Times New Roman" w:cs="Times New Roman"/>
          <w:b/>
          <w:sz w:val="28"/>
          <w:szCs w:val="28"/>
        </w:rPr>
        <w:t>fizinio ugdymo grupės</w:t>
      </w:r>
    </w:p>
    <w:p w:rsidR="00B3325F" w:rsidRPr="00D225FD" w:rsidRDefault="00B3325F" w:rsidP="00D225FD">
      <w:pPr>
        <w:spacing w:line="360" w:lineRule="auto"/>
        <w:ind w:firstLine="851"/>
        <w:jc w:val="both"/>
        <w:rPr>
          <w:rFonts w:ascii="Times New Roman" w:hAnsi="Times New Roman" w:cs="Times New Roman"/>
          <w:b/>
          <w:sz w:val="28"/>
          <w:szCs w:val="28"/>
        </w:rPr>
      </w:pPr>
      <w:r>
        <w:rPr>
          <w:rFonts w:ascii="Times New Roman" w:hAnsi="Times New Roman" w:cs="Times New Roman"/>
          <w:sz w:val="24"/>
          <w:szCs w:val="24"/>
        </w:rPr>
        <w:t>Išanalizavus 2023 m. ikimokyklinio amžiaus vaikų fizinio ugdymo grupes, matoma kad d</w:t>
      </w:r>
      <w:r w:rsidR="00694A57">
        <w:rPr>
          <w:rFonts w:ascii="Times New Roman" w:hAnsi="Times New Roman" w:cs="Times New Roman"/>
          <w:sz w:val="24"/>
          <w:szCs w:val="24"/>
        </w:rPr>
        <w:t>idžioji dalis</w:t>
      </w:r>
      <w:r>
        <w:rPr>
          <w:rFonts w:ascii="Times New Roman" w:hAnsi="Times New Roman" w:cs="Times New Roman"/>
          <w:sz w:val="24"/>
          <w:szCs w:val="24"/>
        </w:rPr>
        <w:t xml:space="preserve"> vaikų priskiriami pagrindinei fizinio ugdymo grupei - </w:t>
      </w:r>
      <w:r w:rsidR="00694A57">
        <w:rPr>
          <w:rFonts w:ascii="Times New Roman" w:hAnsi="Times New Roman" w:cs="Times New Roman"/>
          <w:sz w:val="24"/>
          <w:szCs w:val="24"/>
        </w:rPr>
        <w:t>99,3</w:t>
      </w:r>
      <w:r w:rsidRPr="00F70865">
        <w:rPr>
          <w:rFonts w:ascii="Times New Roman" w:hAnsi="Times New Roman" w:cs="Times New Roman"/>
          <w:sz w:val="24"/>
          <w:szCs w:val="24"/>
        </w:rPr>
        <w:t>2</w:t>
      </w:r>
      <w:r w:rsidR="00694A57">
        <w:rPr>
          <w:rFonts w:ascii="Times New Roman" w:hAnsi="Times New Roman" w:cs="Times New Roman"/>
          <w:sz w:val="24"/>
          <w:szCs w:val="24"/>
        </w:rPr>
        <w:t xml:space="preserve"> proc., parengiamajai – 0,17 proc., specialiajai – 0,51</w:t>
      </w:r>
      <w:r>
        <w:rPr>
          <w:rFonts w:ascii="Times New Roman" w:hAnsi="Times New Roman" w:cs="Times New Roman"/>
          <w:sz w:val="24"/>
          <w:szCs w:val="24"/>
        </w:rPr>
        <w:t xml:space="preserve"> proc. Vertinat trijų metų rodiklius, matoma</w:t>
      </w:r>
      <w:r w:rsidR="00201D58">
        <w:rPr>
          <w:rFonts w:ascii="Times New Roman" w:hAnsi="Times New Roman" w:cs="Times New Roman"/>
          <w:sz w:val="24"/>
          <w:szCs w:val="24"/>
        </w:rPr>
        <w:t>,</w:t>
      </w:r>
      <w:r>
        <w:rPr>
          <w:rFonts w:ascii="Times New Roman" w:hAnsi="Times New Roman" w:cs="Times New Roman"/>
          <w:sz w:val="24"/>
          <w:szCs w:val="24"/>
        </w:rPr>
        <w:t xml:space="preserve"> kad fizinio ugdymo grupės </w:t>
      </w:r>
      <w:r w:rsidR="00694A57">
        <w:rPr>
          <w:rFonts w:ascii="Times New Roman" w:hAnsi="Times New Roman" w:cs="Times New Roman"/>
          <w:sz w:val="24"/>
          <w:szCs w:val="24"/>
        </w:rPr>
        <w:t>beveik ne</w:t>
      </w:r>
      <w:r>
        <w:rPr>
          <w:rFonts w:ascii="Times New Roman" w:hAnsi="Times New Roman" w:cs="Times New Roman"/>
          <w:sz w:val="24"/>
          <w:szCs w:val="24"/>
        </w:rPr>
        <w:t xml:space="preserve">kito </w:t>
      </w:r>
      <w:r w:rsidR="00694A57">
        <w:rPr>
          <w:rFonts w:ascii="Times New Roman" w:hAnsi="Times New Roman" w:cs="Times New Roman"/>
          <w:sz w:val="24"/>
          <w:szCs w:val="24"/>
        </w:rPr>
        <w:t>(3</w:t>
      </w:r>
      <w:r>
        <w:rPr>
          <w:rFonts w:ascii="Times New Roman" w:hAnsi="Times New Roman" w:cs="Times New Roman"/>
          <w:sz w:val="24"/>
          <w:szCs w:val="24"/>
        </w:rPr>
        <w:t xml:space="preserve"> pav.). </w:t>
      </w:r>
    </w:p>
    <w:p w:rsidR="002B35EE" w:rsidRDefault="00694A57" w:rsidP="00694A57">
      <w:pPr>
        <w:jc w:val="center"/>
        <w:rPr>
          <w:rFonts w:ascii="Times New Roman" w:hAnsi="Times New Roman" w:cs="Times New Roman"/>
          <w:b/>
          <w:sz w:val="28"/>
          <w:szCs w:val="28"/>
        </w:rPr>
      </w:pPr>
      <w:r>
        <w:rPr>
          <w:noProof/>
          <w:lang w:eastAsia="lt-LT"/>
        </w:rPr>
        <w:lastRenderedPageBreak/>
        <w:drawing>
          <wp:inline distT="0" distB="0" distL="0" distR="0" wp14:anchorId="554A26C6" wp14:editId="5C83117D">
            <wp:extent cx="5073650" cy="2832100"/>
            <wp:effectExtent l="0" t="0" r="12700" b="6350"/>
            <wp:docPr id="4" name="Diagrama 4"/>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2B35EE" w:rsidRPr="00DD0016" w:rsidRDefault="00423FD9" w:rsidP="00DD0016">
      <w:pPr>
        <w:spacing w:line="360" w:lineRule="auto"/>
        <w:jc w:val="center"/>
        <w:rPr>
          <w:rFonts w:ascii="Times New Roman" w:hAnsi="Times New Roman" w:cs="Times New Roman"/>
          <w:sz w:val="24"/>
          <w:szCs w:val="24"/>
        </w:rPr>
      </w:pPr>
      <w:r>
        <w:rPr>
          <w:rFonts w:ascii="Times New Roman" w:hAnsi="Times New Roman" w:cs="Times New Roman"/>
          <w:sz w:val="24"/>
          <w:szCs w:val="24"/>
        </w:rPr>
        <w:t>3 pav. Trijų metų Varėnos rajono ikimokyklinio amžiaus fizinio ugdymo grupės (proc.)</w:t>
      </w:r>
    </w:p>
    <w:p w:rsidR="002B35EE" w:rsidRDefault="00DD0016" w:rsidP="002B35EE">
      <w:pPr>
        <w:jc w:val="center"/>
        <w:rPr>
          <w:rFonts w:ascii="Times New Roman" w:hAnsi="Times New Roman" w:cs="Times New Roman"/>
          <w:b/>
          <w:sz w:val="28"/>
          <w:szCs w:val="28"/>
        </w:rPr>
      </w:pPr>
      <w:r>
        <w:rPr>
          <w:rFonts w:ascii="Times New Roman" w:hAnsi="Times New Roman" w:cs="Times New Roman"/>
          <w:b/>
          <w:sz w:val="28"/>
          <w:szCs w:val="28"/>
        </w:rPr>
        <w:t xml:space="preserve">Vaikų </w:t>
      </w:r>
      <w:r w:rsidR="002B35EE" w:rsidRPr="002B35EE">
        <w:rPr>
          <w:rFonts w:ascii="Times New Roman" w:hAnsi="Times New Roman" w:cs="Times New Roman"/>
          <w:b/>
          <w:sz w:val="28"/>
          <w:szCs w:val="28"/>
        </w:rPr>
        <w:t>kūno masės indekso įvertinimas ir jo pokyčiai</w:t>
      </w:r>
    </w:p>
    <w:p w:rsidR="00DD0016" w:rsidRDefault="00DD0016" w:rsidP="00D225FD">
      <w:pPr>
        <w:spacing w:line="360" w:lineRule="auto"/>
        <w:ind w:firstLine="851"/>
        <w:jc w:val="both"/>
        <w:rPr>
          <w:rFonts w:ascii="Times New Roman" w:hAnsi="Times New Roman" w:cs="Times New Roman"/>
          <w:sz w:val="24"/>
          <w:szCs w:val="24"/>
        </w:rPr>
      </w:pPr>
      <w:r>
        <w:rPr>
          <w:rFonts w:ascii="Times New Roman" w:hAnsi="Times New Roman" w:cs="Times New Roman"/>
          <w:sz w:val="24"/>
          <w:szCs w:val="24"/>
        </w:rPr>
        <w:t>Išanalizavus 2023</w:t>
      </w:r>
      <w:r w:rsidRPr="001845CD">
        <w:rPr>
          <w:rFonts w:ascii="Times New Roman" w:hAnsi="Times New Roman" w:cs="Times New Roman"/>
          <w:sz w:val="24"/>
          <w:szCs w:val="24"/>
        </w:rPr>
        <w:t xml:space="preserve"> metų </w:t>
      </w:r>
      <w:r>
        <w:rPr>
          <w:rFonts w:ascii="Times New Roman" w:hAnsi="Times New Roman" w:cs="Times New Roman"/>
          <w:sz w:val="24"/>
          <w:szCs w:val="24"/>
        </w:rPr>
        <w:t xml:space="preserve">vaikų </w:t>
      </w:r>
      <w:r w:rsidRPr="001845CD">
        <w:rPr>
          <w:rFonts w:ascii="Times New Roman" w:hAnsi="Times New Roman" w:cs="Times New Roman"/>
          <w:sz w:val="24"/>
          <w:szCs w:val="24"/>
        </w:rPr>
        <w:t>pasisk</w:t>
      </w:r>
      <w:r w:rsidR="009915C5">
        <w:rPr>
          <w:rFonts w:ascii="Times New Roman" w:hAnsi="Times New Roman" w:cs="Times New Roman"/>
          <w:sz w:val="24"/>
          <w:szCs w:val="24"/>
        </w:rPr>
        <w:t>irstymą pagal kūno masės indeksą</w:t>
      </w:r>
      <w:r w:rsidRPr="001845CD">
        <w:rPr>
          <w:rFonts w:ascii="Times New Roman" w:hAnsi="Times New Roman" w:cs="Times New Roman"/>
          <w:sz w:val="24"/>
          <w:szCs w:val="24"/>
        </w:rPr>
        <w:t xml:space="preserve"> (KMI), </w:t>
      </w:r>
      <w:r>
        <w:rPr>
          <w:rFonts w:ascii="Times New Roman" w:hAnsi="Times New Roman" w:cs="Times New Roman"/>
          <w:sz w:val="24"/>
          <w:szCs w:val="24"/>
        </w:rPr>
        <w:t>vertinama, kad didžioji</w:t>
      </w:r>
      <w:r w:rsidRPr="001845CD">
        <w:rPr>
          <w:rFonts w:ascii="Times New Roman" w:hAnsi="Times New Roman" w:cs="Times New Roman"/>
          <w:sz w:val="24"/>
          <w:szCs w:val="24"/>
        </w:rPr>
        <w:t xml:space="preserve"> </w:t>
      </w:r>
      <w:r>
        <w:rPr>
          <w:rFonts w:ascii="Times New Roman" w:hAnsi="Times New Roman" w:cs="Times New Roman"/>
          <w:sz w:val="24"/>
          <w:szCs w:val="24"/>
        </w:rPr>
        <w:t xml:space="preserve">dalis turėjo normalų KMI </w:t>
      </w:r>
      <w:r w:rsidR="009915C5">
        <w:rPr>
          <w:rFonts w:ascii="Times New Roman" w:hAnsi="Times New Roman" w:cs="Times New Roman"/>
          <w:sz w:val="24"/>
          <w:szCs w:val="24"/>
        </w:rPr>
        <w:t>– 61,52</w:t>
      </w:r>
      <w:r w:rsidRPr="001845CD">
        <w:rPr>
          <w:rFonts w:ascii="Times New Roman" w:hAnsi="Times New Roman" w:cs="Times New Roman"/>
          <w:sz w:val="24"/>
          <w:szCs w:val="24"/>
        </w:rPr>
        <w:t xml:space="preserve"> proc.</w:t>
      </w:r>
      <w:r w:rsidR="009915C5">
        <w:rPr>
          <w:rFonts w:ascii="Times New Roman" w:hAnsi="Times New Roman" w:cs="Times New Roman"/>
          <w:sz w:val="24"/>
          <w:szCs w:val="24"/>
        </w:rPr>
        <w:t xml:space="preserve"> vaikų</w:t>
      </w:r>
      <w:r w:rsidRPr="001845CD">
        <w:rPr>
          <w:rFonts w:ascii="Times New Roman" w:hAnsi="Times New Roman" w:cs="Times New Roman"/>
          <w:sz w:val="24"/>
          <w:szCs w:val="24"/>
        </w:rPr>
        <w:t xml:space="preserve">. </w:t>
      </w:r>
      <w:r w:rsidR="009915C5">
        <w:rPr>
          <w:rFonts w:ascii="Times New Roman" w:hAnsi="Times New Roman" w:cs="Times New Roman"/>
          <w:sz w:val="24"/>
          <w:szCs w:val="24"/>
        </w:rPr>
        <w:t>26</w:t>
      </w:r>
      <w:r>
        <w:rPr>
          <w:rFonts w:ascii="Times New Roman" w:hAnsi="Times New Roman" w:cs="Times New Roman"/>
          <w:sz w:val="24"/>
          <w:szCs w:val="24"/>
        </w:rPr>
        <w:t>,</w:t>
      </w:r>
      <w:r w:rsidR="009915C5">
        <w:rPr>
          <w:rFonts w:ascii="Times New Roman" w:hAnsi="Times New Roman" w:cs="Times New Roman"/>
          <w:sz w:val="24"/>
          <w:szCs w:val="24"/>
        </w:rPr>
        <w:t>7</w:t>
      </w:r>
      <w:r w:rsidRPr="001845CD">
        <w:rPr>
          <w:rFonts w:ascii="Times New Roman" w:hAnsi="Times New Roman" w:cs="Times New Roman"/>
          <w:sz w:val="24"/>
          <w:szCs w:val="24"/>
        </w:rPr>
        <w:t xml:space="preserve"> proc. </w:t>
      </w:r>
      <w:r w:rsidR="009915C5">
        <w:rPr>
          <w:rFonts w:ascii="Times New Roman" w:hAnsi="Times New Roman" w:cs="Times New Roman"/>
          <w:sz w:val="24"/>
          <w:szCs w:val="24"/>
        </w:rPr>
        <w:t xml:space="preserve">vaikų </w:t>
      </w:r>
      <w:r w:rsidRPr="001845CD">
        <w:rPr>
          <w:rFonts w:ascii="Times New Roman" w:hAnsi="Times New Roman" w:cs="Times New Roman"/>
          <w:sz w:val="24"/>
          <w:szCs w:val="24"/>
        </w:rPr>
        <w:t>turėjo per mažą</w:t>
      </w:r>
      <w:r>
        <w:rPr>
          <w:rFonts w:ascii="Times New Roman" w:hAnsi="Times New Roman" w:cs="Times New Roman"/>
          <w:sz w:val="24"/>
          <w:szCs w:val="24"/>
        </w:rPr>
        <w:t xml:space="preserve"> svorį</w:t>
      </w:r>
      <w:r w:rsidR="009915C5">
        <w:rPr>
          <w:rFonts w:ascii="Times New Roman" w:hAnsi="Times New Roman" w:cs="Times New Roman"/>
          <w:sz w:val="24"/>
          <w:szCs w:val="24"/>
        </w:rPr>
        <w:t>, 8,06</w:t>
      </w:r>
      <w:r>
        <w:rPr>
          <w:rFonts w:ascii="Times New Roman" w:hAnsi="Times New Roman" w:cs="Times New Roman"/>
          <w:sz w:val="24"/>
          <w:szCs w:val="24"/>
        </w:rPr>
        <w:t xml:space="preserve"> proc. turėjo antsvorio, o nutukimą turėjo </w:t>
      </w:r>
      <w:r w:rsidR="009915C5">
        <w:rPr>
          <w:rFonts w:ascii="Times New Roman" w:hAnsi="Times New Roman" w:cs="Times New Roman"/>
          <w:sz w:val="24"/>
          <w:szCs w:val="24"/>
        </w:rPr>
        <w:t>–</w:t>
      </w:r>
      <w:r>
        <w:rPr>
          <w:rFonts w:ascii="Times New Roman" w:hAnsi="Times New Roman" w:cs="Times New Roman"/>
          <w:sz w:val="24"/>
          <w:szCs w:val="24"/>
        </w:rPr>
        <w:t xml:space="preserve"> </w:t>
      </w:r>
      <w:r w:rsidR="009915C5">
        <w:rPr>
          <w:rFonts w:ascii="Times New Roman" w:hAnsi="Times New Roman" w:cs="Times New Roman"/>
          <w:sz w:val="24"/>
          <w:szCs w:val="24"/>
        </w:rPr>
        <w:t>5,16</w:t>
      </w:r>
      <w:r w:rsidR="00201D58">
        <w:rPr>
          <w:rFonts w:ascii="Times New Roman" w:hAnsi="Times New Roman" w:cs="Times New Roman"/>
          <w:sz w:val="24"/>
          <w:szCs w:val="24"/>
        </w:rPr>
        <w:t xml:space="preserve"> proc. vaikų</w:t>
      </w:r>
      <w:r>
        <w:rPr>
          <w:rFonts w:ascii="Times New Roman" w:hAnsi="Times New Roman" w:cs="Times New Roman"/>
          <w:sz w:val="24"/>
          <w:szCs w:val="24"/>
        </w:rPr>
        <w:t xml:space="preserve">. </w:t>
      </w:r>
      <w:r w:rsidRPr="001845CD">
        <w:rPr>
          <w:rFonts w:ascii="Times New Roman" w:hAnsi="Times New Roman" w:cs="Times New Roman"/>
          <w:sz w:val="24"/>
          <w:szCs w:val="24"/>
        </w:rPr>
        <w:t xml:space="preserve"> Lyginant </w:t>
      </w:r>
      <w:r>
        <w:rPr>
          <w:rFonts w:ascii="Times New Roman" w:hAnsi="Times New Roman" w:cs="Times New Roman"/>
          <w:sz w:val="24"/>
          <w:szCs w:val="24"/>
        </w:rPr>
        <w:t>trejų metų rodiklius</w:t>
      </w:r>
      <w:r w:rsidR="009915C5">
        <w:rPr>
          <w:rFonts w:ascii="Times New Roman" w:hAnsi="Times New Roman" w:cs="Times New Roman"/>
          <w:sz w:val="24"/>
          <w:szCs w:val="24"/>
        </w:rPr>
        <w:t xml:space="preserve"> rodikliai </w:t>
      </w:r>
      <w:r>
        <w:rPr>
          <w:rFonts w:ascii="Times New Roman" w:hAnsi="Times New Roman" w:cs="Times New Roman"/>
          <w:sz w:val="24"/>
          <w:szCs w:val="24"/>
        </w:rPr>
        <w:t xml:space="preserve">išlieka panašūs </w:t>
      </w:r>
      <w:r w:rsidRPr="001845CD">
        <w:rPr>
          <w:rFonts w:ascii="Times New Roman" w:hAnsi="Times New Roman" w:cs="Times New Roman"/>
          <w:sz w:val="24"/>
          <w:szCs w:val="24"/>
        </w:rPr>
        <w:t>(</w:t>
      </w:r>
      <w:r w:rsidR="009915C5">
        <w:rPr>
          <w:rFonts w:ascii="Times New Roman" w:hAnsi="Times New Roman" w:cs="Times New Roman"/>
          <w:sz w:val="24"/>
          <w:szCs w:val="24"/>
        </w:rPr>
        <w:t xml:space="preserve">3 </w:t>
      </w:r>
      <w:r w:rsidRPr="001845CD">
        <w:rPr>
          <w:rFonts w:ascii="Times New Roman" w:hAnsi="Times New Roman" w:cs="Times New Roman"/>
          <w:sz w:val="24"/>
          <w:szCs w:val="24"/>
        </w:rPr>
        <w:t>pav.).</w:t>
      </w:r>
    </w:p>
    <w:p w:rsidR="00DD0016" w:rsidRDefault="009915C5" w:rsidP="002B35EE">
      <w:pPr>
        <w:jc w:val="center"/>
        <w:rPr>
          <w:rFonts w:ascii="Times New Roman" w:hAnsi="Times New Roman" w:cs="Times New Roman"/>
          <w:b/>
          <w:sz w:val="28"/>
          <w:szCs w:val="28"/>
        </w:rPr>
      </w:pPr>
      <w:r>
        <w:rPr>
          <w:noProof/>
          <w:lang w:eastAsia="lt-LT"/>
        </w:rPr>
        <w:drawing>
          <wp:inline distT="0" distB="0" distL="0" distR="0" wp14:anchorId="6632AA9A" wp14:editId="48507C73">
            <wp:extent cx="4572000" cy="2743200"/>
            <wp:effectExtent l="0" t="0" r="0" b="0"/>
            <wp:docPr id="5" name="Diagrama 5"/>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9915C5" w:rsidRPr="00FB28DA" w:rsidRDefault="009915C5" w:rsidP="009915C5">
      <w:pPr>
        <w:spacing w:line="360" w:lineRule="auto"/>
        <w:jc w:val="center"/>
        <w:rPr>
          <w:rFonts w:ascii="Times New Roman" w:hAnsi="Times New Roman" w:cs="Times New Roman"/>
          <w:sz w:val="24"/>
          <w:szCs w:val="24"/>
        </w:rPr>
      </w:pPr>
      <w:r w:rsidRPr="00FB28DA">
        <w:rPr>
          <w:rFonts w:ascii="Times New Roman" w:hAnsi="Times New Roman" w:cs="Times New Roman"/>
          <w:sz w:val="24"/>
          <w:szCs w:val="24"/>
        </w:rPr>
        <w:t xml:space="preserve">4 pav. Trijų metų Varėnos rajono </w:t>
      </w:r>
      <w:r>
        <w:rPr>
          <w:rFonts w:ascii="Times New Roman" w:hAnsi="Times New Roman" w:cs="Times New Roman"/>
          <w:sz w:val="24"/>
          <w:szCs w:val="24"/>
        </w:rPr>
        <w:t xml:space="preserve">vaikų </w:t>
      </w:r>
      <w:r w:rsidRPr="00FB28DA">
        <w:rPr>
          <w:rFonts w:ascii="Times New Roman" w:hAnsi="Times New Roman" w:cs="Times New Roman"/>
          <w:sz w:val="24"/>
          <w:szCs w:val="24"/>
        </w:rPr>
        <w:t>kūno masės indekso pokyčiai (proc.)</w:t>
      </w:r>
    </w:p>
    <w:p w:rsidR="004D2A1D" w:rsidRDefault="004D2A1D" w:rsidP="0086120C">
      <w:pPr>
        <w:rPr>
          <w:rFonts w:ascii="Times New Roman" w:hAnsi="Times New Roman" w:cs="Times New Roman"/>
          <w:sz w:val="24"/>
          <w:szCs w:val="24"/>
        </w:rPr>
      </w:pPr>
    </w:p>
    <w:p w:rsidR="0086120C" w:rsidRDefault="0086120C" w:rsidP="0086120C">
      <w:pPr>
        <w:rPr>
          <w:rFonts w:ascii="Times New Roman" w:hAnsi="Times New Roman" w:cs="Times New Roman"/>
          <w:b/>
          <w:sz w:val="28"/>
          <w:szCs w:val="28"/>
        </w:rPr>
      </w:pPr>
    </w:p>
    <w:p w:rsidR="004D2A1D" w:rsidRDefault="004D2A1D" w:rsidP="002B35EE">
      <w:pPr>
        <w:jc w:val="center"/>
        <w:rPr>
          <w:rFonts w:ascii="Times New Roman" w:hAnsi="Times New Roman" w:cs="Times New Roman"/>
          <w:b/>
          <w:sz w:val="28"/>
          <w:szCs w:val="28"/>
        </w:rPr>
      </w:pPr>
    </w:p>
    <w:p w:rsidR="004D2A1D" w:rsidRPr="008563D2" w:rsidRDefault="004D2A1D" w:rsidP="004D2A1D">
      <w:pPr>
        <w:spacing w:line="360" w:lineRule="auto"/>
        <w:jc w:val="center"/>
        <w:rPr>
          <w:rFonts w:ascii="Times New Roman" w:hAnsi="Times New Roman" w:cs="Times New Roman"/>
          <w:b/>
          <w:sz w:val="28"/>
          <w:szCs w:val="28"/>
        </w:rPr>
      </w:pPr>
      <w:r w:rsidRPr="008563D2">
        <w:rPr>
          <w:rFonts w:ascii="Times New Roman" w:hAnsi="Times New Roman" w:cs="Times New Roman"/>
          <w:b/>
          <w:sz w:val="28"/>
          <w:szCs w:val="28"/>
        </w:rPr>
        <w:lastRenderedPageBreak/>
        <w:t>Apibendrinimas</w:t>
      </w:r>
    </w:p>
    <w:p w:rsidR="004D2A1D" w:rsidRDefault="004D2A1D" w:rsidP="00D225FD">
      <w:pPr>
        <w:spacing w:line="360" w:lineRule="auto"/>
        <w:ind w:firstLine="851"/>
        <w:jc w:val="both"/>
        <w:rPr>
          <w:rFonts w:ascii="Times New Roman" w:hAnsi="Times New Roman" w:cs="Times New Roman"/>
          <w:sz w:val="24"/>
          <w:szCs w:val="24"/>
        </w:rPr>
      </w:pPr>
      <w:r>
        <w:rPr>
          <w:rFonts w:ascii="Times New Roman" w:hAnsi="Times New Roman" w:cs="Times New Roman"/>
          <w:sz w:val="24"/>
          <w:szCs w:val="24"/>
        </w:rPr>
        <w:t>Išanalizavus 2023</w:t>
      </w:r>
      <w:r w:rsidRPr="00DD43F5">
        <w:rPr>
          <w:rFonts w:ascii="Times New Roman" w:hAnsi="Times New Roman" w:cs="Times New Roman"/>
          <w:sz w:val="24"/>
          <w:szCs w:val="24"/>
        </w:rPr>
        <w:t xml:space="preserve"> metų </w:t>
      </w:r>
      <w:r>
        <w:rPr>
          <w:rFonts w:ascii="Times New Roman" w:hAnsi="Times New Roman" w:cs="Times New Roman"/>
          <w:sz w:val="24"/>
          <w:szCs w:val="24"/>
        </w:rPr>
        <w:t xml:space="preserve">Varėnos rajono ikimokyklinio </w:t>
      </w:r>
      <w:r w:rsidRPr="00DD43F5">
        <w:rPr>
          <w:rFonts w:ascii="Times New Roman" w:hAnsi="Times New Roman" w:cs="Times New Roman"/>
          <w:sz w:val="24"/>
          <w:szCs w:val="24"/>
        </w:rPr>
        <w:t xml:space="preserve">ugdymo </w:t>
      </w:r>
      <w:r>
        <w:rPr>
          <w:rFonts w:ascii="Times New Roman" w:hAnsi="Times New Roman" w:cs="Times New Roman"/>
          <w:sz w:val="24"/>
          <w:szCs w:val="24"/>
        </w:rPr>
        <w:t xml:space="preserve">vaikų </w:t>
      </w:r>
      <w:r w:rsidRPr="00DD43F5">
        <w:rPr>
          <w:rFonts w:ascii="Times New Roman" w:hAnsi="Times New Roman" w:cs="Times New Roman"/>
          <w:sz w:val="24"/>
          <w:szCs w:val="24"/>
        </w:rPr>
        <w:t xml:space="preserve">mokinių sveikatos profilaktinius duomenis, galima pateikti apibendrintą informaciją: </w:t>
      </w:r>
    </w:p>
    <w:p w:rsidR="004D2A1D" w:rsidRDefault="004D2A1D" w:rsidP="004D2A1D">
      <w:pPr>
        <w:spacing w:line="360" w:lineRule="auto"/>
        <w:jc w:val="both"/>
        <w:rPr>
          <w:rFonts w:ascii="Times New Roman" w:hAnsi="Times New Roman" w:cs="Times New Roman"/>
          <w:sz w:val="24"/>
          <w:szCs w:val="24"/>
        </w:rPr>
      </w:pPr>
      <w:r>
        <w:rPr>
          <w:rFonts w:ascii="Times New Roman" w:hAnsi="Times New Roman" w:cs="Times New Roman"/>
          <w:sz w:val="24"/>
          <w:szCs w:val="24"/>
        </w:rPr>
        <w:t>• 2023</w:t>
      </w:r>
      <w:r w:rsidRPr="00DD43F5">
        <w:rPr>
          <w:rFonts w:ascii="Times New Roman" w:hAnsi="Times New Roman" w:cs="Times New Roman"/>
          <w:sz w:val="24"/>
          <w:szCs w:val="24"/>
        </w:rPr>
        <w:t xml:space="preserve"> m. profilaktiškai sveikatą pasitikrino </w:t>
      </w:r>
      <w:r>
        <w:rPr>
          <w:rFonts w:ascii="Times New Roman" w:hAnsi="Times New Roman" w:cs="Times New Roman"/>
          <w:sz w:val="24"/>
          <w:szCs w:val="24"/>
        </w:rPr>
        <w:t>62,78</w:t>
      </w:r>
      <w:r w:rsidRPr="00346EB1">
        <w:rPr>
          <w:rFonts w:ascii="Times New Roman" w:hAnsi="Times New Roman" w:cs="Times New Roman"/>
          <w:sz w:val="24"/>
          <w:szCs w:val="24"/>
        </w:rPr>
        <w:t xml:space="preserve"> </w:t>
      </w:r>
      <w:r>
        <w:rPr>
          <w:rFonts w:ascii="Times New Roman" w:hAnsi="Times New Roman" w:cs="Times New Roman"/>
          <w:sz w:val="24"/>
          <w:szCs w:val="24"/>
        </w:rPr>
        <w:t>proc. vaikų</w:t>
      </w:r>
      <w:r w:rsidRPr="00DD43F5">
        <w:rPr>
          <w:rFonts w:ascii="Times New Roman" w:hAnsi="Times New Roman" w:cs="Times New Roman"/>
          <w:sz w:val="24"/>
          <w:szCs w:val="24"/>
        </w:rPr>
        <w:t xml:space="preserve">. </w:t>
      </w:r>
    </w:p>
    <w:p w:rsidR="004D2A1D" w:rsidRDefault="004D2A1D" w:rsidP="004D2A1D">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E810D6">
        <w:rPr>
          <w:rFonts w:ascii="Times New Roman" w:hAnsi="Times New Roman" w:cs="Times New Roman"/>
          <w:sz w:val="24"/>
          <w:szCs w:val="24"/>
        </w:rPr>
        <w:t>•</w:t>
      </w:r>
      <w:r>
        <w:rPr>
          <w:rFonts w:ascii="Times New Roman" w:hAnsi="Times New Roman" w:cs="Times New Roman"/>
          <w:sz w:val="24"/>
          <w:szCs w:val="24"/>
        </w:rPr>
        <w:t xml:space="preserve"> </w:t>
      </w:r>
      <w:r w:rsidRPr="00346EB1">
        <w:rPr>
          <w:rFonts w:ascii="Times New Roman" w:hAnsi="Times New Roman" w:cs="Times New Roman"/>
          <w:sz w:val="24"/>
          <w:szCs w:val="24"/>
        </w:rPr>
        <w:t xml:space="preserve">2023 metais užpildytą pažymėjimo I dalį „Fizinės būklės įvertinimas“ </w:t>
      </w:r>
      <w:r>
        <w:rPr>
          <w:rFonts w:ascii="Times New Roman" w:hAnsi="Times New Roman" w:cs="Times New Roman"/>
          <w:sz w:val="24"/>
          <w:szCs w:val="24"/>
        </w:rPr>
        <w:t xml:space="preserve">pateikė 93,38 </w:t>
      </w:r>
      <w:r w:rsidRPr="00346EB1">
        <w:rPr>
          <w:rFonts w:ascii="Times New Roman" w:hAnsi="Times New Roman" w:cs="Times New Roman"/>
          <w:sz w:val="24"/>
          <w:szCs w:val="24"/>
        </w:rPr>
        <w:t>proc., o II dalį „Dantų ir žandikaulių būklės įvertinimas“ –</w:t>
      </w:r>
      <w:r>
        <w:rPr>
          <w:rFonts w:ascii="Times New Roman" w:hAnsi="Times New Roman" w:cs="Times New Roman"/>
          <w:sz w:val="24"/>
          <w:szCs w:val="24"/>
        </w:rPr>
        <w:t xml:space="preserve"> 64,04 </w:t>
      </w:r>
      <w:r w:rsidRPr="00346EB1">
        <w:rPr>
          <w:rFonts w:ascii="Times New Roman" w:hAnsi="Times New Roman" w:cs="Times New Roman"/>
          <w:sz w:val="24"/>
          <w:szCs w:val="24"/>
        </w:rPr>
        <w:t>proc.</w:t>
      </w:r>
      <w:r w:rsidR="0063630C">
        <w:rPr>
          <w:rFonts w:ascii="Times New Roman" w:hAnsi="Times New Roman" w:cs="Times New Roman"/>
          <w:sz w:val="24"/>
          <w:szCs w:val="24"/>
        </w:rPr>
        <w:t xml:space="preserve"> </w:t>
      </w:r>
      <w:r>
        <w:rPr>
          <w:rFonts w:ascii="Times New Roman" w:hAnsi="Times New Roman" w:cs="Times New Roman"/>
          <w:sz w:val="24"/>
          <w:szCs w:val="24"/>
        </w:rPr>
        <w:t>vaikų</w:t>
      </w:r>
      <w:r w:rsidRPr="00346EB1">
        <w:rPr>
          <w:rFonts w:ascii="Times New Roman" w:hAnsi="Times New Roman" w:cs="Times New Roman"/>
          <w:sz w:val="24"/>
          <w:szCs w:val="24"/>
        </w:rPr>
        <w:t>.</w:t>
      </w:r>
    </w:p>
    <w:p w:rsidR="004D2A1D" w:rsidRPr="00841BBB" w:rsidRDefault="004D2A1D" w:rsidP="004D2A1D">
      <w:pPr>
        <w:spacing w:line="360" w:lineRule="auto"/>
        <w:jc w:val="both"/>
        <w:rPr>
          <w:rFonts w:ascii="Times New Roman" w:hAnsi="Times New Roman" w:cs="Times New Roman"/>
          <w:sz w:val="24"/>
          <w:szCs w:val="24"/>
        </w:rPr>
      </w:pPr>
      <w:r>
        <w:rPr>
          <w:rFonts w:ascii="Times New Roman" w:hAnsi="Times New Roman" w:cs="Times New Roman"/>
          <w:sz w:val="24"/>
          <w:szCs w:val="24"/>
        </w:rPr>
        <w:t>• 2023</w:t>
      </w:r>
      <w:r w:rsidRPr="00DD43F5">
        <w:rPr>
          <w:rFonts w:ascii="Times New Roman" w:hAnsi="Times New Roman" w:cs="Times New Roman"/>
          <w:sz w:val="24"/>
          <w:szCs w:val="24"/>
        </w:rPr>
        <w:t xml:space="preserve"> m. </w:t>
      </w:r>
      <w:r>
        <w:rPr>
          <w:rFonts w:ascii="Times New Roman" w:hAnsi="Times New Roman" w:cs="Times New Roman"/>
          <w:sz w:val="24"/>
          <w:szCs w:val="24"/>
        </w:rPr>
        <w:t>didžiausia</w:t>
      </w:r>
      <w:r w:rsidR="0063630C">
        <w:rPr>
          <w:rFonts w:ascii="Times New Roman" w:hAnsi="Times New Roman" w:cs="Times New Roman"/>
          <w:sz w:val="24"/>
          <w:szCs w:val="24"/>
        </w:rPr>
        <w:t xml:space="preserve"> vaikų</w:t>
      </w:r>
      <w:r w:rsidRPr="00841BBB">
        <w:rPr>
          <w:rFonts w:ascii="Times New Roman" w:hAnsi="Times New Roman" w:cs="Times New Roman"/>
          <w:sz w:val="24"/>
          <w:szCs w:val="24"/>
        </w:rPr>
        <w:t xml:space="preserve"> dalis turėjo normalų KMI –</w:t>
      </w:r>
      <w:r w:rsidR="0063630C">
        <w:rPr>
          <w:rFonts w:ascii="Times New Roman" w:hAnsi="Times New Roman" w:cs="Times New Roman"/>
          <w:sz w:val="24"/>
          <w:szCs w:val="24"/>
        </w:rPr>
        <w:t xml:space="preserve"> 61,52</w:t>
      </w:r>
      <w:r w:rsidR="0063630C" w:rsidRPr="001845CD">
        <w:rPr>
          <w:rFonts w:ascii="Times New Roman" w:hAnsi="Times New Roman" w:cs="Times New Roman"/>
          <w:sz w:val="24"/>
          <w:szCs w:val="24"/>
        </w:rPr>
        <w:t xml:space="preserve"> </w:t>
      </w:r>
      <w:r w:rsidRPr="00841BBB">
        <w:rPr>
          <w:rFonts w:ascii="Times New Roman" w:hAnsi="Times New Roman" w:cs="Times New Roman"/>
          <w:sz w:val="24"/>
          <w:szCs w:val="24"/>
        </w:rPr>
        <w:t>proc.</w:t>
      </w:r>
      <w:r w:rsidR="0063630C">
        <w:rPr>
          <w:rFonts w:ascii="Times New Roman" w:hAnsi="Times New Roman" w:cs="Times New Roman"/>
          <w:sz w:val="24"/>
          <w:szCs w:val="24"/>
        </w:rPr>
        <w:t xml:space="preserve"> vaikų</w:t>
      </w:r>
      <w:r w:rsidRPr="00841BBB">
        <w:rPr>
          <w:rFonts w:ascii="Times New Roman" w:hAnsi="Times New Roman" w:cs="Times New Roman"/>
          <w:sz w:val="24"/>
          <w:szCs w:val="24"/>
        </w:rPr>
        <w:t xml:space="preserve">. </w:t>
      </w:r>
      <w:r w:rsidR="0063630C" w:rsidRPr="0063630C">
        <w:rPr>
          <w:rFonts w:ascii="Times New Roman" w:hAnsi="Times New Roman" w:cs="Times New Roman"/>
          <w:sz w:val="24"/>
          <w:szCs w:val="24"/>
        </w:rPr>
        <w:t xml:space="preserve">26,7 </w:t>
      </w:r>
      <w:r w:rsidRPr="00841BBB">
        <w:rPr>
          <w:rFonts w:ascii="Times New Roman" w:hAnsi="Times New Roman" w:cs="Times New Roman"/>
          <w:sz w:val="24"/>
          <w:szCs w:val="24"/>
        </w:rPr>
        <w:t xml:space="preserve">proc. turėjo per mažą svorį, </w:t>
      </w:r>
      <w:r w:rsidR="0063630C" w:rsidRPr="0063630C">
        <w:rPr>
          <w:rFonts w:ascii="Times New Roman" w:hAnsi="Times New Roman" w:cs="Times New Roman"/>
          <w:sz w:val="24"/>
          <w:szCs w:val="24"/>
        </w:rPr>
        <w:t xml:space="preserve">8,06 </w:t>
      </w:r>
      <w:r w:rsidRPr="00841BBB">
        <w:rPr>
          <w:rFonts w:ascii="Times New Roman" w:hAnsi="Times New Roman" w:cs="Times New Roman"/>
          <w:sz w:val="24"/>
          <w:szCs w:val="24"/>
        </w:rPr>
        <w:t xml:space="preserve">proc. turėjo </w:t>
      </w:r>
      <w:r w:rsidR="0063630C">
        <w:rPr>
          <w:rFonts w:ascii="Times New Roman" w:hAnsi="Times New Roman" w:cs="Times New Roman"/>
          <w:sz w:val="24"/>
          <w:szCs w:val="24"/>
        </w:rPr>
        <w:t>antsvorio, o nutukimą turėjo - 5,16</w:t>
      </w:r>
      <w:r w:rsidR="00F57B98">
        <w:rPr>
          <w:rFonts w:ascii="Times New Roman" w:hAnsi="Times New Roman" w:cs="Times New Roman"/>
          <w:sz w:val="24"/>
          <w:szCs w:val="24"/>
        </w:rPr>
        <w:t xml:space="preserve"> proc. vaikų</w:t>
      </w:r>
      <w:r w:rsidRPr="00841BBB">
        <w:rPr>
          <w:rFonts w:ascii="Times New Roman" w:hAnsi="Times New Roman" w:cs="Times New Roman"/>
          <w:sz w:val="24"/>
          <w:szCs w:val="24"/>
        </w:rPr>
        <w:t xml:space="preserve">.  </w:t>
      </w:r>
    </w:p>
    <w:p w:rsidR="004D2A1D" w:rsidRDefault="004D2A1D" w:rsidP="0063630C">
      <w:pPr>
        <w:spacing w:before="240" w:line="360" w:lineRule="auto"/>
        <w:jc w:val="both"/>
        <w:rPr>
          <w:rFonts w:ascii="Times New Roman" w:hAnsi="Times New Roman" w:cs="Times New Roman"/>
          <w:sz w:val="24"/>
          <w:szCs w:val="24"/>
        </w:rPr>
      </w:pPr>
      <w:r w:rsidRPr="00DD43F5">
        <w:rPr>
          <w:rFonts w:ascii="Times New Roman" w:hAnsi="Times New Roman" w:cs="Times New Roman"/>
          <w:sz w:val="24"/>
          <w:szCs w:val="24"/>
        </w:rPr>
        <w:t xml:space="preserve">• </w:t>
      </w:r>
      <w:r>
        <w:rPr>
          <w:rFonts w:ascii="Times New Roman" w:hAnsi="Times New Roman" w:cs="Times New Roman"/>
          <w:sz w:val="24"/>
          <w:szCs w:val="24"/>
        </w:rPr>
        <w:t>2023 m. d</w:t>
      </w:r>
      <w:r w:rsidRPr="00447AE1">
        <w:rPr>
          <w:rFonts w:ascii="Times New Roman" w:hAnsi="Times New Roman" w:cs="Times New Roman"/>
          <w:sz w:val="24"/>
          <w:szCs w:val="24"/>
        </w:rPr>
        <w:t xml:space="preserve">augiausiai </w:t>
      </w:r>
      <w:r w:rsidR="00F57B98">
        <w:rPr>
          <w:rFonts w:ascii="Times New Roman" w:hAnsi="Times New Roman" w:cs="Times New Roman"/>
          <w:sz w:val="24"/>
          <w:szCs w:val="24"/>
        </w:rPr>
        <w:t xml:space="preserve">vaikų </w:t>
      </w:r>
      <w:r w:rsidR="00201D58">
        <w:rPr>
          <w:rFonts w:ascii="Times New Roman" w:hAnsi="Times New Roman" w:cs="Times New Roman"/>
          <w:sz w:val="24"/>
          <w:szCs w:val="24"/>
        </w:rPr>
        <w:t xml:space="preserve">buvo priskiriami </w:t>
      </w:r>
      <w:r w:rsidRPr="00447AE1">
        <w:rPr>
          <w:rFonts w:ascii="Times New Roman" w:hAnsi="Times New Roman" w:cs="Times New Roman"/>
          <w:sz w:val="24"/>
          <w:szCs w:val="24"/>
        </w:rPr>
        <w:t xml:space="preserve">pagrindinei fizinio ugdymo grupei - </w:t>
      </w:r>
      <w:r w:rsidR="0063630C" w:rsidRPr="0063630C">
        <w:rPr>
          <w:rFonts w:ascii="Times New Roman" w:hAnsi="Times New Roman" w:cs="Times New Roman"/>
          <w:sz w:val="24"/>
          <w:szCs w:val="24"/>
        </w:rPr>
        <w:t xml:space="preserve">99,32 </w:t>
      </w:r>
      <w:r w:rsidR="0063630C">
        <w:rPr>
          <w:rFonts w:ascii="Times New Roman" w:hAnsi="Times New Roman" w:cs="Times New Roman"/>
          <w:sz w:val="24"/>
          <w:szCs w:val="24"/>
        </w:rPr>
        <w:t>proc., parengiamajai – 0,17 proc., specialiajai – 0,51</w:t>
      </w:r>
      <w:r w:rsidRPr="00447AE1">
        <w:rPr>
          <w:rFonts w:ascii="Times New Roman" w:hAnsi="Times New Roman" w:cs="Times New Roman"/>
          <w:sz w:val="24"/>
          <w:szCs w:val="24"/>
        </w:rPr>
        <w:t xml:space="preserve"> proc</w:t>
      </w:r>
      <w:r>
        <w:rPr>
          <w:rFonts w:ascii="Times New Roman" w:hAnsi="Times New Roman" w:cs="Times New Roman"/>
          <w:sz w:val="24"/>
          <w:szCs w:val="24"/>
        </w:rPr>
        <w:t xml:space="preserve">. </w:t>
      </w:r>
    </w:p>
    <w:p w:rsidR="004D2A1D" w:rsidRDefault="004D2A1D" w:rsidP="004D2A1D">
      <w:pPr>
        <w:spacing w:line="360" w:lineRule="auto"/>
        <w:jc w:val="both"/>
        <w:rPr>
          <w:rFonts w:ascii="Times New Roman" w:hAnsi="Times New Roman" w:cs="Times New Roman"/>
          <w:sz w:val="24"/>
          <w:szCs w:val="24"/>
        </w:rPr>
      </w:pPr>
      <w:r w:rsidRPr="00DD43F5">
        <w:rPr>
          <w:rFonts w:ascii="Times New Roman" w:hAnsi="Times New Roman" w:cs="Times New Roman"/>
          <w:sz w:val="24"/>
          <w:szCs w:val="24"/>
        </w:rPr>
        <w:t xml:space="preserve">• </w:t>
      </w:r>
      <w:r w:rsidRPr="00444B42">
        <w:rPr>
          <w:rFonts w:ascii="Times New Roman" w:hAnsi="Times New Roman" w:cs="Times New Roman"/>
          <w:sz w:val="24"/>
          <w:szCs w:val="24"/>
        </w:rPr>
        <w:t>Aukšč</w:t>
      </w:r>
      <w:r w:rsidR="00F57B98">
        <w:rPr>
          <w:rFonts w:ascii="Times New Roman" w:hAnsi="Times New Roman" w:cs="Times New Roman"/>
          <w:sz w:val="24"/>
          <w:szCs w:val="24"/>
        </w:rPr>
        <w:t xml:space="preserve">iausias </w:t>
      </w:r>
      <w:proofErr w:type="spellStart"/>
      <w:r w:rsidR="00F57B98">
        <w:rPr>
          <w:rFonts w:ascii="Times New Roman" w:hAnsi="Times New Roman" w:cs="Times New Roman"/>
          <w:sz w:val="24"/>
          <w:szCs w:val="24"/>
        </w:rPr>
        <w:t>kpi+KPI</w:t>
      </w:r>
      <w:proofErr w:type="spellEnd"/>
      <w:r w:rsidR="00F57B98">
        <w:rPr>
          <w:rFonts w:ascii="Times New Roman" w:hAnsi="Times New Roman" w:cs="Times New Roman"/>
          <w:sz w:val="24"/>
          <w:szCs w:val="24"/>
        </w:rPr>
        <w:t xml:space="preserve"> indeksas buvo 5 </w:t>
      </w:r>
      <w:r w:rsidRPr="00444B42">
        <w:rPr>
          <w:rFonts w:ascii="Times New Roman" w:hAnsi="Times New Roman" w:cs="Times New Roman"/>
          <w:sz w:val="24"/>
          <w:szCs w:val="24"/>
        </w:rPr>
        <w:t>metų am</w:t>
      </w:r>
      <w:r w:rsidR="00F57B98">
        <w:rPr>
          <w:rFonts w:ascii="Times New Roman" w:hAnsi="Times New Roman" w:cs="Times New Roman"/>
          <w:sz w:val="24"/>
          <w:szCs w:val="24"/>
        </w:rPr>
        <w:t xml:space="preserve">žiaus grupėje, o žemiausias – 4 metų amžiaus grupėje. </w:t>
      </w:r>
    </w:p>
    <w:p w:rsidR="004D2A1D" w:rsidRDefault="004D2A1D" w:rsidP="002B35EE">
      <w:pPr>
        <w:jc w:val="center"/>
        <w:rPr>
          <w:rFonts w:ascii="Times New Roman" w:hAnsi="Times New Roman" w:cs="Times New Roman"/>
          <w:b/>
          <w:sz w:val="28"/>
          <w:szCs w:val="28"/>
        </w:rPr>
      </w:pPr>
    </w:p>
    <w:p w:rsidR="001C01FB" w:rsidRDefault="001C01FB" w:rsidP="002B35EE">
      <w:pPr>
        <w:jc w:val="center"/>
        <w:rPr>
          <w:rFonts w:ascii="Times New Roman" w:hAnsi="Times New Roman" w:cs="Times New Roman"/>
          <w:b/>
          <w:sz w:val="28"/>
          <w:szCs w:val="28"/>
        </w:rPr>
      </w:pPr>
    </w:p>
    <w:p w:rsidR="001C01FB" w:rsidRDefault="001C01FB" w:rsidP="0086120C">
      <w:pPr>
        <w:rPr>
          <w:rFonts w:ascii="Times New Roman" w:hAnsi="Times New Roman" w:cs="Times New Roman"/>
          <w:b/>
          <w:sz w:val="28"/>
          <w:szCs w:val="28"/>
        </w:rPr>
      </w:pPr>
    </w:p>
    <w:p w:rsidR="0086120C" w:rsidRDefault="0086120C" w:rsidP="0086120C">
      <w:pPr>
        <w:rPr>
          <w:rFonts w:ascii="Times New Roman" w:hAnsi="Times New Roman" w:cs="Times New Roman"/>
          <w:b/>
          <w:sz w:val="28"/>
          <w:szCs w:val="28"/>
        </w:rPr>
      </w:pPr>
    </w:p>
    <w:p w:rsidR="0086120C" w:rsidRDefault="0086120C" w:rsidP="0086120C">
      <w:pPr>
        <w:rPr>
          <w:rFonts w:ascii="Times New Roman" w:hAnsi="Times New Roman" w:cs="Times New Roman"/>
          <w:b/>
          <w:sz w:val="28"/>
          <w:szCs w:val="28"/>
        </w:rPr>
      </w:pPr>
    </w:p>
    <w:p w:rsidR="0086120C" w:rsidRDefault="0086120C" w:rsidP="0086120C">
      <w:pPr>
        <w:rPr>
          <w:rFonts w:ascii="Times New Roman" w:hAnsi="Times New Roman" w:cs="Times New Roman"/>
          <w:b/>
          <w:sz w:val="28"/>
          <w:szCs w:val="28"/>
        </w:rPr>
      </w:pPr>
    </w:p>
    <w:p w:rsidR="0086120C" w:rsidRDefault="0086120C" w:rsidP="0086120C">
      <w:pPr>
        <w:rPr>
          <w:rFonts w:ascii="Times New Roman" w:hAnsi="Times New Roman" w:cs="Times New Roman"/>
          <w:b/>
          <w:sz w:val="28"/>
          <w:szCs w:val="28"/>
        </w:rPr>
      </w:pPr>
    </w:p>
    <w:p w:rsidR="0086120C" w:rsidRDefault="0086120C" w:rsidP="0086120C">
      <w:pPr>
        <w:rPr>
          <w:rFonts w:ascii="Times New Roman" w:hAnsi="Times New Roman" w:cs="Times New Roman"/>
          <w:b/>
          <w:sz w:val="28"/>
          <w:szCs w:val="28"/>
        </w:rPr>
      </w:pPr>
    </w:p>
    <w:p w:rsidR="0086120C" w:rsidRDefault="0086120C" w:rsidP="0086120C">
      <w:pPr>
        <w:rPr>
          <w:rFonts w:ascii="Times New Roman" w:hAnsi="Times New Roman" w:cs="Times New Roman"/>
          <w:b/>
          <w:sz w:val="28"/>
          <w:szCs w:val="28"/>
        </w:rPr>
      </w:pPr>
    </w:p>
    <w:p w:rsidR="0086120C" w:rsidRDefault="0086120C" w:rsidP="0086120C">
      <w:pPr>
        <w:rPr>
          <w:rFonts w:ascii="Times New Roman" w:hAnsi="Times New Roman" w:cs="Times New Roman"/>
          <w:b/>
          <w:sz w:val="28"/>
          <w:szCs w:val="28"/>
        </w:rPr>
      </w:pPr>
    </w:p>
    <w:p w:rsidR="0086120C" w:rsidRDefault="0086120C" w:rsidP="0086120C">
      <w:pPr>
        <w:rPr>
          <w:rFonts w:ascii="Times New Roman" w:hAnsi="Times New Roman" w:cs="Times New Roman"/>
          <w:b/>
          <w:sz w:val="28"/>
          <w:szCs w:val="28"/>
        </w:rPr>
      </w:pPr>
    </w:p>
    <w:p w:rsidR="0086120C" w:rsidRDefault="0086120C" w:rsidP="0086120C">
      <w:pPr>
        <w:rPr>
          <w:rFonts w:ascii="Times New Roman" w:hAnsi="Times New Roman" w:cs="Times New Roman"/>
          <w:b/>
          <w:sz w:val="28"/>
          <w:szCs w:val="28"/>
        </w:rPr>
      </w:pPr>
    </w:p>
    <w:p w:rsidR="0086120C" w:rsidRDefault="0086120C" w:rsidP="0086120C">
      <w:pPr>
        <w:rPr>
          <w:rFonts w:ascii="Times New Roman" w:hAnsi="Times New Roman" w:cs="Times New Roman"/>
          <w:b/>
          <w:sz w:val="28"/>
          <w:szCs w:val="28"/>
        </w:rPr>
      </w:pPr>
    </w:p>
    <w:p w:rsidR="0086120C" w:rsidRDefault="0086120C" w:rsidP="0086120C">
      <w:pPr>
        <w:rPr>
          <w:rFonts w:ascii="Times New Roman" w:hAnsi="Times New Roman" w:cs="Times New Roman"/>
          <w:b/>
          <w:sz w:val="28"/>
          <w:szCs w:val="28"/>
        </w:rPr>
      </w:pPr>
    </w:p>
    <w:p w:rsidR="001C01FB" w:rsidRPr="001C01FB" w:rsidRDefault="001C01FB" w:rsidP="001C01FB">
      <w:pPr>
        <w:spacing w:line="360" w:lineRule="auto"/>
        <w:rPr>
          <w:rFonts w:ascii="Times New Roman" w:eastAsia="Calibri" w:hAnsi="Times New Roman" w:cs="Times New Roman"/>
          <w:sz w:val="24"/>
          <w:szCs w:val="24"/>
        </w:rPr>
      </w:pPr>
    </w:p>
    <w:p w:rsidR="001C01FB" w:rsidRPr="001C01FB" w:rsidRDefault="001C01FB" w:rsidP="001C01FB">
      <w:pPr>
        <w:spacing w:line="360" w:lineRule="auto"/>
        <w:jc w:val="center"/>
        <w:rPr>
          <w:rFonts w:ascii="Times New Roman" w:eastAsia="Calibri" w:hAnsi="Times New Roman" w:cs="Times New Roman"/>
          <w:b/>
          <w:sz w:val="28"/>
          <w:szCs w:val="28"/>
        </w:rPr>
      </w:pPr>
      <w:r w:rsidRPr="001C01FB">
        <w:rPr>
          <w:rFonts w:ascii="Times New Roman" w:eastAsia="Calibri" w:hAnsi="Times New Roman" w:cs="Times New Roman"/>
          <w:b/>
          <w:sz w:val="28"/>
          <w:szCs w:val="28"/>
        </w:rPr>
        <w:lastRenderedPageBreak/>
        <w:t>Rekomendacijos</w:t>
      </w:r>
    </w:p>
    <w:p w:rsidR="001C01FB" w:rsidRPr="001C01FB" w:rsidRDefault="001C01FB" w:rsidP="001C01FB">
      <w:pPr>
        <w:spacing w:line="360" w:lineRule="auto"/>
        <w:rPr>
          <w:rFonts w:ascii="Times New Roman" w:eastAsia="Calibri" w:hAnsi="Times New Roman" w:cs="Times New Roman"/>
          <w:b/>
          <w:sz w:val="24"/>
          <w:szCs w:val="24"/>
        </w:rPr>
      </w:pPr>
      <w:r w:rsidRPr="001C01FB">
        <w:rPr>
          <w:rFonts w:ascii="Times New Roman" w:eastAsia="Calibri" w:hAnsi="Times New Roman" w:cs="Times New Roman"/>
          <w:b/>
          <w:sz w:val="24"/>
          <w:szCs w:val="24"/>
        </w:rPr>
        <w:t>Varėnos rajono savivaldybės visuomenės sveikatos biurui:</w:t>
      </w:r>
    </w:p>
    <w:p w:rsidR="001C01FB" w:rsidRPr="001C01FB" w:rsidRDefault="001C01FB" w:rsidP="001C01FB">
      <w:pPr>
        <w:numPr>
          <w:ilvl w:val="0"/>
          <w:numId w:val="2"/>
        </w:numPr>
        <w:spacing w:line="360" w:lineRule="auto"/>
        <w:contextualSpacing/>
        <w:rPr>
          <w:rFonts w:ascii="Times New Roman" w:eastAsia="Calibri" w:hAnsi="Times New Roman" w:cs="Times New Roman"/>
          <w:sz w:val="24"/>
          <w:szCs w:val="24"/>
        </w:rPr>
      </w:pPr>
      <w:r w:rsidRPr="001C01FB">
        <w:rPr>
          <w:rFonts w:ascii="Times New Roman" w:eastAsia="Calibri" w:hAnsi="Times New Roman" w:cs="Times New Roman"/>
          <w:sz w:val="24"/>
          <w:szCs w:val="24"/>
        </w:rPr>
        <w:t xml:space="preserve">Bendradarbiauti su ugdymo įstaigomis, siekiant didinti profilaktiškai sveikatą pasitikrinusių vaikų skaičių. </w:t>
      </w:r>
    </w:p>
    <w:p w:rsidR="001C01FB" w:rsidRPr="006227BE" w:rsidRDefault="00A60D7E" w:rsidP="006227BE">
      <w:pPr>
        <w:numPr>
          <w:ilvl w:val="0"/>
          <w:numId w:val="2"/>
        </w:numPr>
        <w:spacing w:line="360" w:lineRule="auto"/>
        <w:contextualSpacing/>
        <w:rPr>
          <w:rFonts w:ascii="Times New Roman" w:eastAsia="Calibri" w:hAnsi="Times New Roman" w:cs="Times New Roman"/>
          <w:sz w:val="24"/>
          <w:szCs w:val="24"/>
        </w:rPr>
      </w:pPr>
      <w:r>
        <w:rPr>
          <w:rFonts w:ascii="Times New Roman" w:eastAsia="Calibri" w:hAnsi="Times New Roman" w:cs="Times New Roman"/>
          <w:sz w:val="24"/>
          <w:szCs w:val="24"/>
        </w:rPr>
        <w:t>O</w:t>
      </w:r>
      <w:bookmarkStart w:id="0" w:name="_GoBack"/>
      <w:bookmarkEnd w:id="0"/>
      <w:r w:rsidR="001C01FB" w:rsidRPr="001C01FB">
        <w:rPr>
          <w:rFonts w:ascii="Times New Roman" w:eastAsia="Calibri" w:hAnsi="Times New Roman" w:cs="Times New Roman"/>
          <w:sz w:val="24"/>
          <w:szCs w:val="24"/>
        </w:rPr>
        <w:t xml:space="preserve">rganizuoti ir vykdyti sveikos mitybos, fizinio aktyvumo, </w:t>
      </w:r>
      <w:r w:rsidR="006227BE">
        <w:rPr>
          <w:rFonts w:ascii="Times New Roman" w:eastAsia="Calibri" w:hAnsi="Times New Roman" w:cs="Times New Roman"/>
          <w:sz w:val="24"/>
          <w:szCs w:val="24"/>
        </w:rPr>
        <w:t xml:space="preserve">burnos higienos ir ėduonies profilaktikos </w:t>
      </w:r>
      <w:proofErr w:type="spellStart"/>
      <w:r w:rsidR="006227BE" w:rsidRPr="006227BE">
        <w:rPr>
          <w:rFonts w:ascii="Times New Roman" w:eastAsia="Calibri" w:hAnsi="Times New Roman" w:cs="Times New Roman"/>
          <w:sz w:val="24"/>
          <w:szCs w:val="24"/>
        </w:rPr>
        <w:t>užsiėmimus</w:t>
      </w:r>
      <w:proofErr w:type="spellEnd"/>
      <w:r w:rsidR="006227BE" w:rsidRPr="006227BE">
        <w:rPr>
          <w:rFonts w:ascii="Times New Roman" w:eastAsia="Calibri" w:hAnsi="Times New Roman" w:cs="Times New Roman"/>
          <w:sz w:val="24"/>
          <w:szCs w:val="24"/>
        </w:rPr>
        <w:t>/mokymus</w:t>
      </w:r>
      <w:r w:rsidR="006227BE">
        <w:rPr>
          <w:rFonts w:ascii="Times New Roman" w:eastAsia="Calibri" w:hAnsi="Times New Roman" w:cs="Times New Roman"/>
          <w:sz w:val="24"/>
          <w:szCs w:val="24"/>
        </w:rPr>
        <w:t xml:space="preserve">. </w:t>
      </w:r>
    </w:p>
    <w:p w:rsidR="001C01FB" w:rsidRPr="001C01FB" w:rsidRDefault="006227BE" w:rsidP="001C01FB">
      <w:pPr>
        <w:spacing w:line="360" w:lineRule="auto"/>
        <w:rPr>
          <w:rFonts w:ascii="Times New Roman" w:eastAsia="Calibri" w:hAnsi="Times New Roman" w:cs="Times New Roman"/>
          <w:b/>
          <w:sz w:val="24"/>
          <w:szCs w:val="24"/>
        </w:rPr>
      </w:pPr>
      <w:r>
        <w:rPr>
          <w:rFonts w:ascii="Times New Roman" w:eastAsia="Calibri" w:hAnsi="Times New Roman" w:cs="Times New Roman"/>
          <w:b/>
          <w:sz w:val="24"/>
          <w:szCs w:val="24"/>
        </w:rPr>
        <w:t xml:space="preserve">Ikimokyklinio </w:t>
      </w:r>
      <w:r w:rsidR="001C01FB" w:rsidRPr="001C01FB">
        <w:rPr>
          <w:rFonts w:ascii="Times New Roman" w:eastAsia="Calibri" w:hAnsi="Times New Roman" w:cs="Times New Roman"/>
          <w:b/>
          <w:sz w:val="24"/>
          <w:szCs w:val="24"/>
        </w:rPr>
        <w:t>ugdymo</w:t>
      </w:r>
      <w:r>
        <w:rPr>
          <w:rFonts w:ascii="Times New Roman" w:eastAsia="Calibri" w:hAnsi="Times New Roman" w:cs="Times New Roman"/>
          <w:b/>
          <w:sz w:val="24"/>
          <w:szCs w:val="24"/>
        </w:rPr>
        <w:t xml:space="preserve"> įstaigoms </w:t>
      </w:r>
      <w:r w:rsidR="001C01FB" w:rsidRPr="001C01FB">
        <w:rPr>
          <w:rFonts w:ascii="Times New Roman" w:eastAsia="Calibri" w:hAnsi="Times New Roman" w:cs="Times New Roman"/>
          <w:b/>
          <w:sz w:val="24"/>
          <w:szCs w:val="24"/>
        </w:rPr>
        <w:t>:</w:t>
      </w:r>
    </w:p>
    <w:p w:rsidR="001C01FB" w:rsidRDefault="0086120C" w:rsidP="001C01FB">
      <w:pPr>
        <w:numPr>
          <w:ilvl w:val="0"/>
          <w:numId w:val="3"/>
        </w:numPr>
        <w:spacing w:line="360" w:lineRule="auto"/>
        <w:contextualSpacing/>
        <w:rPr>
          <w:rFonts w:ascii="Times New Roman" w:eastAsia="Calibri" w:hAnsi="Times New Roman" w:cs="Times New Roman"/>
          <w:b/>
          <w:sz w:val="24"/>
          <w:szCs w:val="24"/>
        </w:rPr>
      </w:pPr>
      <w:r>
        <w:rPr>
          <w:rFonts w:ascii="Times New Roman" w:eastAsia="Calibri" w:hAnsi="Times New Roman" w:cs="Times New Roman"/>
          <w:sz w:val="24"/>
          <w:szCs w:val="24"/>
        </w:rPr>
        <w:t>Siekti, kad ikimokyklinio</w:t>
      </w:r>
      <w:r w:rsidR="001C01FB" w:rsidRPr="001C01FB">
        <w:rPr>
          <w:rFonts w:ascii="Times New Roman" w:eastAsia="Calibri" w:hAnsi="Times New Roman" w:cs="Times New Roman"/>
          <w:sz w:val="24"/>
          <w:szCs w:val="24"/>
        </w:rPr>
        <w:t xml:space="preserve"> ugdymo įstaigas lankytų tik sveikatą pasitikrinę</w:t>
      </w:r>
      <w:r>
        <w:rPr>
          <w:rFonts w:ascii="Times New Roman" w:eastAsia="Calibri" w:hAnsi="Times New Roman" w:cs="Times New Roman"/>
          <w:sz w:val="24"/>
          <w:szCs w:val="24"/>
        </w:rPr>
        <w:t xml:space="preserve"> vaikai</w:t>
      </w:r>
      <w:r w:rsidR="001C01FB" w:rsidRPr="001C01FB">
        <w:rPr>
          <w:rFonts w:ascii="Times New Roman" w:eastAsia="Calibri" w:hAnsi="Times New Roman" w:cs="Times New Roman"/>
          <w:b/>
          <w:sz w:val="24"/>
          <w:szCs w:val="24"/>
        </w:rPr>
        <w:t xml:space="preserve">. </w:t>
      </w:r>
    </w:p>
    <w:p w:rsidR="00B91F4D" w:rsidRPr="00B91F4D" w:rsidRDefault="00B91F4D" w:rsidP="001C01FB">
      <w:pPr>
        <w:numPr>
          <w:ilvl w:val="0"/>
          <w:numId w:val="3"/>
        </w:numPr>
        <w:spacing w:line="360" w:lineRule="auto"/>
        <w:contextualSpacing/>
        <w:rPr>
          <w:rFonts w:ascii="Times New Roman" w:eastAsia="Calibri" w:hAnsi="Times New Roman" w:cs="Times New Roman"/>
          <w:sz w:val="24"/>
          <w:szCs w:val="24"/>
        </w:rPr>
      </w:pPr>
      <w:r w:rsidRPr="00B91F4D">
        <w:rPr>
          <w:rFonts w:ascii="Times New Roman" w:eastAsia="Calibri" w:hAnsi="Times New Roman" w:cs="Times New Roman"/>
          <w:sz w:val="24"/>
          <w:szCs w:val="24"/>
        </w:rPr>
        <w:t xml:space="preserve">Bendradarbiaujant </w:t>
      </w:r>
      <w:r>
        <w:rPr>
          <w:rFonts w:ascii="Times New Roman" w:eastAsia="Calibri" w:hAnsi="Times New Roman" w:cs="Times New Roman"/>
          <w:sz w:val="24"/>
          <w:szCs w:val="24"/>
        </w:rPr>
        <w:t xml:space="preserve">su visuomenės sveikatos specialistais, organizuoti </w:t>
      </w:r>
      <w:r w:rsidR="006227BE">
        <w:rPr>
          <w:rFonts w:ascii="Times New Roman" w:eastAsia="Calibri" w:hAnsi="Times New Roman" w:cs="Times New Roman"/>
          <w:sz w:val="24"/>
          <w:szCs w:val="24"/>
        </w:rPr>
        <w:t xml:space="preserve">vaikų </w:t>
      </w:r>
      <w:r>
        <w:rPr>
          <w:rFonts w:ascii="Times New Roman" w:eastAsia="Calibri" w:hAnsi="Times New Roman" w:cs="Times New Roman"/>
          <w:sz w:val="24"/>
          <w:szCs w:val="24"/>
        </w:rPr>
        <w:t xml:space="preserve">sveikatos stiprinimo ir išsaugojimo veiklas. </w:t>
      </w:r>
    </w:p>
    <w:p w:rsidR="001C01FB" w:rsidRPr="002B35EE" w:rsidRDefault="001C01FB" w:rsidP="002B35EE">
      <w:pPr>
        <w:jc w:val="center"/>
        <w:rPr>
          <w:rFonts w:ascii="Times New Roman" w:hAnsi="Times New Roman" w:cs="Times New Roman"/>
          <w:b/>
          <w:sz w:val="28"/>
          <w:szCs w:val="28"/>
        </w:rPr>
      </w:pPr>
    </w:p>
    <w:sectPr w:rsidR="001C01FB" w:rsidRPr="002B35EE">
      <w:pgSz w:w="11906" w:h="16838"/>
      <w:pgMar w:top="1701"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020F7B"/>
    <w:multiLevelType w:val="hybridMultilevel"/>
    <w:tmpl w:val="76DC370C"/>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5B6D2248"/>
    <w:multiLevelType w:val="hybridMultilevel"/>
    <w:tmpl w:val="A5F4FE9C"/>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 w15:restartNumberingAfterBreak="0">
    <w:nsid w:val="7C8679B1"/>
    <w:multiLevelType w:val="hybridMultilevel"/>
    <w:tmpl w:val="A0AA0AB0"/>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53C8"/>
    <w:rsid w:val="00083AF6"/>
    <w:rsid w:val="000B1136"/>
    <w:rsid w:val="000D32C7"/>
    <w:rsid w:val="00125AA3"/>
    <w:rsid w:val="00175E69"/>
    <w:rsid w:val="001C01FB"/>
    <w:rsid w:val="00201D58"/>
    <w:rsid w:val="002551A6"/>
    <w:rsid w:val="002B35EE"/>
    <w:rsid w:val="003E3CAB"/>
    <w:rsid w:val="00423FD9"/>
    <w:rsid w:val="004458D1"/>
    <w:rsid w:val="004666E6"/>
    <w:rsid w:val="004D2A1D"/>
    <w:rsid w:val="006227BE"/>
    <w:rsid w:val="0063630C"/>
    <w:rsid w:val="00694A57"/>
    <w:rsid w:val="006F532A"/>
    <w:rsid w:val="007C53C8"/>
    <w:rsid w:val="0086066F"/>
    <w:rsid w:val="0086120C"/>
    <w:rsid w:val="009915C5"/>
    <w:rsid w:val="00A60D7E"/>
    <w:rsid w:val="00B3325F"/>
    <w:rsid w:val="00B67A5E"/>
    <w:rsid w:val="00B91F4D"/>
    <w:rsid w:val="00C22D75"/>
    <w:rsid w:val="00C40D38"/>
    <w:rsid w:val="00D225FD"/>
    <w:rsid w:val="00DD0016"/>
    <w:rsid w:val="00F57B98"/>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911A2F"/>
  <w15:chartTrackingRefBased/>
  <w15:docId w15:val="{3C0E6459-59E0-4A24-A8B0-1A93B801E3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Sraopastraipa">
    <w:name w:val="List Paragraph"/>
    <w:basedOn w:val="prastasis"/>
    <w:uiPriority w:val="34"/>
    <w:qFormat/>
    <w:rsid w:val="007C53C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3.xml"/><Relationship Id="rId3" Type="http://schemas.openxmlformats.org/officeDocument/2006/relationships/settings" Target="settings.xml"/><Relationship Id="rId7" Type="http://schemas.openxmlformats.org/officeDocument/2006/relationships/chart" Target="charts/chart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chart" Target="charts/chart1.xml"/><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hart" Target="charts/chart4.xm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package" Target="../embeddings/Microsoft_Excel_darbalapis.xlsx"/></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darbalapis1.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darbalapis2.xlsx"/><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package" Target="../embeddings/Microsoft_Excel_darbalapis3.xlsx"/><Relationship Id="rId2" Type="http://schemas.microsoft.com/office/2011/relationships/chartColorStyle" Target="colors4.xml"/><Relationship Id="rId1" Type="http://schemas.microsoft.com/office/2011/relationships/chartStyle" Target="style4.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lt-LT"/>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Lapas1!$B$95</c:f>
              <c:strCache>
                <c:ptCount val="1"/>
                <c:pt idx="0">
                  <c:v>Mokinių, pristačiusių formą Nr. E027-1, dalis (%)</c:v>
                </c:pt>
              </c:strCache>
            </c:strRef>
          </c:tx>
          <c:spPr>
            <a:solidFill>
              <a:schemeClr val="accent1"/>
            </a:solidFill>
            <a:ln>
              <a:noFill/>
            </a:ln>
            <a:effectLst/>
          </c:spPr>
          <c:invertIfNegative val="0"/>
          <c:cat>
            <c:numRef>
              <c:f>Lapas1!$C$94:$E$94</c:f>
              <c:numCache>
                <c:formatCode>General</c:formatCode>
                <c:ptCount val="3"/>
                <c:pt idx="0">
                  <c:v>2021</c:v>
                </c:pt>
                <c:pt idx="1">
                  <c:v>2022</c:v>
                </c:pt>
                <c:pt idx="2">
                  <c:v>2023</c:v>
                </c:pt>
              </c:numCache>
            </c:numRef>
          </c:cat>
          <c:val>
            <c:numRef>
              <c:f>Lapas1!$C$95:$E$95</c:f>
              <c:numCache>
                <c:formatCode>General</c:formatCode>
                <c:ptCount val="3"/>
                <c:pt idx="0">
                  <c:v>55.83</c:v>
                </c:pt>
                <c:pt idx="1">
                  <c:v>61.42</c:v>
                </c:pt>
                <c:pt idx="2">
                  <c:v>62.78</c:v>
                </c:pt>
              </c:numCache>
            </c:numRef>
          </c:val>
          <c:extLst>
            <c:ext xmlns:c16="http://schemas.microsoft.com/office/drawing/2014/chart" uri="{C3380CC4-5D6E-409C-BE32-E72D297353CC}">
              <c16:uniqueId val="{00000000-B90B-45BD-B287-B7FE244174F4}"/>
            </c:ext>
          </c:extLst>
        </c:ser>
        <c:ser>
          <c:idx val="1"/>
          <c:order val="1"/>
          <c:tx>
            <c:strRef>
              <c:f>Lapas1!$B$96</c:f>
              <c:strCache>
                <c:ptCount val="1"/>
                <c:pt idx="0">
                  <c:v>Mokinių, kurių formos  Nr. E027-1 formos I dalis "Fizinės būklės įvertinimas" užpildyta, dalis (%)</c:v>
                </c:pt>
              </c:strCache>
            </c:strRef>
          </c:tx>
          <c:spPr>
            <a:solidFill>
              <a:schemeClr val="accent2"/>
            </a:solidFill>
            <a:ln>
              <a:noFill/>
            </a:ln>
            <a:effectLst/>
          </c:spPr>
          <c:invertIfNegative val="0"/>
          <c:cat>
            <c:numRef>
              <c:f>Lapas1!$C$94:$E$94</c:f>
              <c:numCache>
                <c:formatCode>General</c:formatCode>
                <c:ptCount val="3"/>
                <c:pt idx="0">
                  <c:v>2021</c:v>
                </c:pt>
                <c:pt idx="1">
                  <c:v>2022</c:v>
                </c:pt>
                <c:pt idx="2">
                  <c:v>2023</c:v>
                </c:pt>
              </c:numCache>
            </c:numRef>
          </c:cat>
          <c:val>
            <c:numRef>
              <c:f>Lapas1!$C$96:$E$96</c:f>
              <c:numCache>
                <c:formatCode>General</c:formatCode>
                <c:ptCount val="3"/>
                <c:pt idx="0">
                  <c:v>89.49</c:v>
                </c:pt>
                <c:pt idx="1">
                  <c:v>92.22</c:v>
                </c:pt>
                <c:pt idx="2">
                  <c:v>93.38</c:v>
                </c:pt>
              </c:numCache>
            </c:numRef>
          </c:val>
          <c:extLst>
            <c:ext xmlns:c16="http://schemas.microsoft.com/office/drawing/2014/chart" uri="{C3380CC4-5D6E-409C-BE32-E72D297353CC}">
              <c16:uniqueId val="{00000001-B90B-45BD-B287-B7FE244174F4}"/>
            </c:ext>
          </c:extLst>
        </c:ser>
        <c:ser>
          <c:idx val="2"/>
          <c:order val="2"/>
          <c:tx>
            <c:strRef>
              <c:f>Lapas1!$B$97</c:f>
              <c:strCache>
                <c:ptCount val="1"/>
                <c:pt idx="0">
                  <c:v>Mokinių, kurių formos  Nr. E027-1 formos II dalis "Dantų ir žandikaulių būklės įvertinimas" užpildyta, dalis (%)</c:v>
                </c:pt>
              </c:strCache>
            </c:strRef>
          </c:tx>
          <c:spPr>
            <a:solidFill>
              <a:schemeClr val="accent3"/>
            </a:solidFill>
            <a:ln>
              <a:noFill/>
            </a:ln>
            <a:effectLst/>
          </c:spPr>
          <c:invertIfNegative val="0"/>
          <c:cat>
            <c:numRef>
              <c:f>Lapas1!$C$94:$E$94</c:f>
              <c:numCache>
                <c:formatCode>General</c:formatCode>
                <c:ptCount val="3"/>
                <c:pt idx="0">
                  <c:v>2021</c:v>
                </c:pt>
                <c:pt idx="1">
                  <c:v>2022</c:v>
                </c:pt>
                <c:pt idx="2">
                  <c:v>2023</c:v>
                </c:pt>
              </c:numCache>
            </c:numRef>
          </c:cat>
          <c:val>
            <c:numRef>
              <c:f>Lapas1!$C$97:$E$97</c:f>
              <c:numCache>
                <c:formatCode>General</c:formatCode>
                <c:ptCount val="3"/>
                <c:pt idx="0">
                  <c:v>57.47</c:v>
                </c:pt>
                <c:pt idx="1">
                  <c:v>62.94</c:v>
                </c:pt>
                <c:pt idx="2">
                  <c:v>64.040000000000006</c:v>
                </c:pt>
              </c:numCache>
            </c:numRef>
          </c:val>
          <c:extLst>
            <c:ext xmlns:c16="http://schemas.microsoft.com/office/drawing/2014/chart" uri="{C3380CC4-5D6E-409C-BE32-E72D297353CC}">
              <c16:uniqueId val="{00000002-B90B-45BD-B287-B7FE244174F4}"/>
            </c:ext>
          </c:extLst>
        </c:ser>
        <c:dLbls>
          <c:showLegendKey val="0"/>
          <c:showVal val="0"/>
          <c:showCatName val="0"/>
          <c:showSerName val="0"/>
          <c:showPercent val="0"/>
          <c:showBubbleSize val="0"/>
        </c:dLbls>
        <c:gapWidth val="219"/>
        <c:overlap val="-27"/>
        <c:axId val="370367808"/>
        <c:axId val="370356984"/>
      </c:barChart>
      <c:catAx>
        <c:axId val="37036780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lt-LT"/>
          </a:p>
        </c:txPr>
        <c:crossAx val="370356984"/>
        <c:crosses val="autoZero"/>
        <c:auto val="1"/>
        <c:lblAlgn val="ctr"/>
        <c:lblOffset val="100"/>
        <c:noMultiLvlLbl val="0"/>
      </c:catAx>
      <c:valAx>
        <c:axId val="37035698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lt-LT"/>
          </a:p>
        </c:txPr>
        <c:crossAx val="370367808"/>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lt-LT"/>
          </a:p>
        </c:txPr>
      </c:dTable>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lt-LT"/>
    </a:p>
  </c:txPr>
  <c:externalData r:id="rId4">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lt-LT"/>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Lapas1!$C$106</c:f>
              <c:strCache>
                <c:ptCount val="1"/>
                <c:pt idx="0">
                  <c:v>kpi indeksas</c:v>
                </c:pt>
              </c:strCache>
            </c:strRef>
          </c:tx>
          <c:spPr>
            <a:solidFill>
              <a:schemeClr val="accent1"/>
            </a:solidFill>
            <a:ln>
              <a:noFill/>
            </a:ln>
            <a:effectLst/>
            <a:sp3d/>
          </c:spPr>
          <c:invertIfNegative val="0"/>
          <c:cat>
            <c:strRef>
              <c:f>Lapas1!$B$107:$B$110</c:f>
              <c:strCache>
                <c:ptCount val="4"/>
                <c:pt idx="0">
                  <c:v>3 m. </c:v>
                </c:pt>
                <c:pt idx="1">
                  <c:v>4 m. </c:v>
                </c:pt>
                <c:pt idx="2">
                  <c:v>5 m. </c:v>
                </c:pt>
                <c:pt idx="3">
                  <c:v>6 m. </c:v>
                </c:pt>
              </c:strCache>
            </c:strRef>
          </c:cat>
          <c:val>
            <c:numRef>
              <c:f>Lapas1!$C$107:$C$110</c:f>
              <c:numCache>
                <c:formatCode>General</c:formatCode>
                <c:ptCount val="4"/>
                <c:pt idx="0">
                  <c:v>2.5</c:v>
                </c:pt>
                <c:pt idx="1">
                  <c:v>0</c:v>
                </c:pt>
                <c:pt idx="2">
                  <c:v>11.5</c:v>
                </c:pt>
                <c:pt idx="3">
                  <c:v>6.38</c:v>
                </c:pt>
              </c:numCache>
            </c:numRef>
          </c:val>
          <c:extLst>
            <c:ext xmlns:c16="http://schemas.microsoft.com/office/drawing/2014/chart" uri="{C3380CC4-5D6E-409C-BE32-E72D297353CC}">
              <c16:uniqueId val="{00000000-4CDF-4892-A15C-70F11A4AAB56}"/>
            </c:ext>
          </c:extLst>
        </c:ser>
        <c:ser>
          <c:idx val="1"/>
          <c:order val="1"/>
          <c:tx>
            <c:strRef>
              <c:f>Lapas1!$D$106</c:f>
              <c:strCache>
                <c:ptCount val="1"/>
                <c:pt idx="0">
                  <c:v>KPI indeksas</c:v>
                </c:pt>
              </c:strCache>
            </c:strRef>
          </c:tx>
          <c:spPr>
            <a:solidFill>
              <a:schemeClr val="accent2"/>
            </a:solidFill>
            <a:ln>
              <a:noFill/>
            </a:ln>
            <a:effectLst/>
            <a:sp3d/>
          </c:spPr>
          <c:invertIfNegative val="0"/>
          <c:cat>
            <c:strRef>
              <c:f>Lapas1!$B$107:$B$110</c:f>
              <c:strCache>
                <c:ptCount val="4"/>
                <c:pt idx="0">
                  <c:v>3 m. </c:v>
                </c:pt>
                <c:pt idx="1">
                  <c:v>4 m. </c:v>
                </c:pt>
                <c:pt idx="2">
                  <c:v>5 m. </c:v>
                </c:pt>
                <c:pt idx="3">
                  <c:v>6 m. </c:v>
                </c:pt>
              </c:strCache>
            </c:strRef>
          </c:cat>
          <c:val>
            <c:numRef>
              <c:f>Lapas1!$D$107:$D$110</c:f>
              <c:numCache>
                <c:formatCode>General</c:formatCode>
                <c:ptCount val="4"/>
                <c:pt idx="0">
                  <c:v>0</c:v>
                </c:pt>
                <c:pt idx="1">
                  <c:v>0</c:v>
                </c:pt>
                <c:pt idx="2">
                  <c:v>0</c:v>
                </c:pt>
                <c:pt idx="3">
                  <c:v>0.13</c:v>
                </c:pt>
              </c:numCache>
            </c:numRef>
          </c:val>
          <c:extLst>
            <c:ext xmlns:c16="http://schemas.microsoft.com/office/drawing/2014/chart" uri="{C3380CC4-5D6E-409C-BE32-E72D297353CC}">
              <c16:uniqueId val="{00000001-4CDF-4892-A15C-70F11A4AAB56}"/>
            </c:ext>
          </c:extLst>
        </c:ser>
        <c:ser>
          <c:idx val="2"/>
          <c:order val="2"/>
          <c:tx>
            <c:strRef>
              <c:f>Lapas1!$E$106</c:f>
              <c:strCache>
                <c:ptCount val="1"/>
                <c:pt idx="0">
                  <c:v>kpi+KPI indeksas</c:v>
                </c:pt>
              </c:strCache>
            </c:strRef>
          </c:tx>
          <c:spPr>
            <a:solidFill>
              <a:schemeClr val="accent3"/>
            </a:solidFill>
            <a:ln>
              <a:noFill/>
            </a:ln>
            <a:effectLst/>
            <a:sp3d/>
          </c:spPr>
          <c:invertIfNegative val="0"/>
          <c:cat>
            <c:strRef>
              <c:f>Lapas1!$B$107:$B$110</c:f>
              <c:strCache>
                <c:ptCount val="4"/>
                <c:pt idx="0">
                  <c:v>3 m. </c:v>
                </c:pt>
                <c:pt idx="1">
                  <c:v>4 m. </c:v>
                </c:pt>
                <c:pt idx="2">
                  <c:v>5 m. </c:v>
                </c:pt>
                <c:pt idx="3">
                  <c:v>6 m. </c:v>
                </c:pt>
              </c:strCache>
            </c:strRef>
          </c:cat>
          <c:val>
            <c:numRef>
              <c:f>Lapas1!$E$107:$E$110</c:f>
              <c:numCache>
                <c:formatCode>General</c:formatCode>
                <c:ptCount val="4"/>
                <c:pt idx="0">
                  <c:v>2.5</c:v>
                </c:pt>
                <c:pt idx="1">
                  <c:v>0</c:v>
                </c:pt>
                <c:pt idx="2">
                  <c:v>11.5</c:v>
                </c:pt>
                <c:pt idx="3">
                  <c:v>6.51</c:v>
                </c:pt>
              </c:numCache>
            </c:numRef>
          </c:val>
          <c:extLst>
            <c:ext xmlns:c16="http://schemas.microsoft.com/office/drawing/2014/chart" uri="{C3380CC4-5D6E-409C-BE32-E72D297353CC}">
              <c16:uniqueId val="{00000002-4CDF-4892-A15C-70F11A4AAB56}"/>
            </c:ext>
          </c:extLst>
        </c:ser>
        <c:dLbls>
          <c:showLegendKey val="0"/>
          <c:showVal val="0"/>
          <c:showCatName val="0"/>
          <c:showSerName val="0"/>
          <c:showPercent val="0"/>
          <c:showBubbleSize val="0"/>
        </c:dLbls>
        <c:gapWidth val="150"/>
        <c:shape val="box"/>
        <c:axId val="516696168"/>
        <c:axId val="516702400"/>
        <c:axId val="0"/>
      </c:bar3DChart>
      <c:catAx>
        <c:axId val="516696168"/>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t-LT"/>
          </a:p>
        </c:txPr>
        <c:crossAx val="516702400"/>
        <c:crosses val="autoZero"/>
        <c:auto val="1"/>
        <c:lblAlgn val="ctr"/>
        <c:lblOffset val="100"/>
        <c:noMultiLvlLbl val="0"/>
      </c:catAx>
      <c:valAx>
        <c:axId val="51670240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t-LT"/>
          </a:p>
        </c:txPr>
        <c:crossAx val="516696168"/>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900" b="0" i="0" u="none" strike="noStrike" kern="1200" baseline="0">
                <a:solidFill>
                  <a:schemeClr val="tx1">
                    <a:lumMod val="65000"/>
                    <a:lumOff val="35000"/>
                  </a:schemeClr>
                </a:solidFill>
                <a:latin typeface="+mn-lt"/>
                <a:ea typeface="+mn-ea"/>
                <a:cs typeface="+mn-cs"/>
              </a:defRPr>
            </a:pPr>
            <a:endParaRPr lang="lt-LT"/>
          </a:p>
        </c:txPr>
      </c:dTable>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lt-LT"/>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lt-LT"/>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Lapas1!$B$42</c:f>
              <c:strCache>
                <c:ptCount val="1"/>
                <c:pt idx="0">
                  <c:v>Pagrindinė fizinio ugdymo grupė, dalis (%)</c:v>
                </c:pt>
              </c:strCache>
            </c:strRef>
          </c:tx>
          <c:spPr>
            <a:solidFill>
              <a:schemeClr val="accent1"/>
            </a:solidFill>
            <a:ln>
              <a:noFill/>
            </a:ln>
            <a:effectLst/>
            <a:sp3d/>
          </c:spPr>
          <c:invertIfNegative val="0"/>
          <c:cat>
            <c:numRef>
              <c:f>Lapas1!$C$41:$E$41</c:f>
              <c:numCache>
                <c:formatCode>General</c:formatCode>
                <c:ptCount val="3"/>
                <c:pt idx="0">
                  <c:v>2021</c:v>
                </c:pt>
                <c:pt idx="1">
                  <c:v>2022</c:v>
                </c:pt>
                <c:pt idx="2">
                  <c:v>2023</c:v>
                </c:pt>
              </c:numCache>
            </c:numRef>
          </c:cat>
          <c:val>
            <c:numRef>
              <c:f>Lapas1!$C$42:$E$42</c:f>
              <c:numCache>
                <c:formatCode>General</c:formatCode>
                <c:ptCount val="3"/>
                <c:pt idx="0">
                  <c:v>99.63</c:v>
                </c:pt>
                <c:pt idx="1">
                  <c:v>99.27</c:v>
                </c:pt>
                <c:pt idx="2">
                  <c:v>99.32</c:v>
                </c:pt>
              </c:numCache>
            </c:numRef>
          </c:val>
          <c:extLst>
            <c:ext xmlns:c16="http://schemas.microsoft.com/office/drawing/2014/chart" uri="{C3380CC4-5D6E-409C-BE32-E72D297353CC}">
              <c16:uniqueId val="{00000000-F801-4BD7-B778-2D84F8E37272}"/>
            </c:ext>
          </c:extLst>
        </c:ser>
        <c:ser>
          <c:idx val="1"/>
          <c:order val="1"/>
          <c:tx>
            <c:strRef>
              <c:f>Lapas1!$B$43</c:f>
              <c:strCache>
                <c:ptCount val="1"/>
                <c:pt idx="0">
                  <c:v>Parengiamajai fizinio ugdymo grupė, dalis (%)</c:v>
                </c:pt>
              </c:strCache>
            </c:strRef>
          </c:tx>
          <c:spPr>
            <a:solidFill>
              <a:schemeClr val="accent2"/>
            </a:solidFill>
            <a:ln>
              <a:noFill/>
            </a:ln>
            <a:effectLst/>
            <a:sp3d/>
          </c:spPr>
          <c:invertIfNegative val="0"/>
          <c:cat>
            <c:numRef>
              <c:f>Lapas1!$C$41:$E$41</c:f>
              <c:numCache>
                <c:formatCode>General</c:formatCode>
                <c:ptCount val="3"/>
                <c:pt idx="0">
                  <c:v>2021</c:v>
                </c:pt>
                <c:pt idx="1">
                  <c:v>2022</c:v>
                </c:pt>
                <c:pt idx="2">
                  <c:v>2023</c:v>
                </c:pt>
              </c:numCache>
            </c:numRef>
          </c:cat>
          <c:val>
            <c:numRef>
              <c:f>Lapas1!$C$43:$E$43</c:f>
              <c:numCache>
                <c:formatCode>General</c:formatCode>
                <c:ptCount val="3"/>
                <c:pt idx="0">
                  <c:v>0</c:v>
                </c:pt>
                <c:pt idx="1">
                  <c:v>0.18</c:v>
                </c:pt>
                <c:pt idx="2">
                  <c:v>0.17</c:v>
                </c:pt>
              </c:numCache>
            </c:numRef>
          </c:val>
          <c:extLst>
            <c:ext xmlns:c16="http://schemas.microsoft.com/office/drawing/2014/chart" uri="{C3380CC4-5D6E-409C-BE32-E72D297353CC}">
              <c16:uniqueId val="{00000001-F801-4BD7-B778-2D84F8E37272}"/>
            </c:ext>
          </c:extLst>
        </c:ser>
        <c:ser>
          <c:idx val="2"/>
          <c:order val="2"/>
          <c:tx>
            <c:strRef>
              <c:f>Lapas1!$B$44</c:f>
              <c:strCache>
                <c:ptCount val="1"/>
                <c:pt idx="0">
                  <c:v>Specialiaji fizinio ugdymo grupė, dalis (%)</c:v>
                </c:pt>
              </c:strCache>
            </c:strRef>
          </c:tx>
          <c:spPr>
            <a:solidFill>
              <a:schemeClr val="accent3"/>
            </a:solidFill>
            <a:ln>
              <a:noFill/>
            </a:ln>
            <a:effectLst/>
            <a:sp3d/>
          </c:spPr>
          <c:invertIfNegative val="0"/>
          <c:cat>
            <c:numRef>
              <c:f>Lapas1!$C$41:$E$41</c:f>
              <c:numCache>
                <c:formatCode>General</c:formatCode>
                <c:ptCount val="3"/>
                <c:pt idx="0">
                  <c:v>2021</c:v>
                </c:pt>
                <c:pt idx="1">
                  <c:v>2022</c:v>
                </c:pt>
                <c:pt idx="2">
                  <c:v>2023</c:v>
                </c:pt>
              </c:numCache>
            </c:numRef>
          </c:cat>
          <c:val>
            <c:numRef>
              <c:f>Lapas1!$C$44:$E$44</c:f>
              <c:numCache>
                <c:formatCode>General</c:formatCode>
                <c:ptCount val="3"/>
                <c:pt idx="0">
                  <c:v>0.37</c:v>
                </c:pt>
                <c:pt idx="1">
                  <c:v>0.55000000000000004</c:v>
                </c:pt>
                <c:pt idx="2">
                  <c:v>0.51</c:v>
                </c:pt>
              </c:numCache>
            </c:numRef>
          </c:val>
          <c:extLst>
            <c:ext xmlns:c16="http://schemas.microsoft.com/office/drawing/2014/chart" uri="{C3380CC4-5D6E-409C-BE32-E72D297353CC}">
              <c16:uniqueId val="{00000002-F801-4BD7-B778-2D84F8E37272}"/>
            </c:ext>
          </c:extLst>
        </c:ser>
        <c:dLbls>
          <c:showLegendKey val="0"/>
          <c:showVal val="0"/>
          <c:showCatName val="0"/>
          <c:showSerName val="0"/>
          <c:showPercent val="0"/>
          <c:showBubbleSize val="0"/>
        </c:dLbls>
        <c:gapWidth val="150"/>
        <c:shape val="box"/>
        <c:axId val="375833840"/>
        <c:axId val="375828592"/>
        <c:axId val="0"/>
      </c:bar3DChart>
      <c:catAx>
        <c:axId val="375833840"/>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t-LT"/>
          </a:p>
        </c:txPr>
        <c:crossAx val="375828592"/>
        <c:crosses val="autoZero"/>
        <c:auto val="1"/>
        <c:lblAlgn val="ctr"/>
        <c:lblOffset val="100"/>
        <c:noMultiLvlLbl val="0"/>
      </c:catAx>
      <c:valAx>
        <c:axId val="37582859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t-LT"/>
          </a:p>
        </c:txPr>
        <c:crossAx val="375833840"/>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900" b="0" i="0" u="none" strike="noStrike" kern="1200" baseline="0">
                <a:solidFill>
                  <a:schemeClr val="tx1">
                    <a:lumMod val="65000"/>
                    <a:lumOff val="35000"/>
                  </a:schemeClr>
                </a:solidFill>
                <a:latin typeface="+mn-lt"/>
                <a:ea typeface="+mn-ea"/>
                <a:cs typeface="+mn-cs"/>
              </a:defRPr>
            </a:pPr>
            <a:endParaRPr lang="lt-LT"/>
          </a:p>
        </c:txPr>
      </c:dTable>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lt-LT"/>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lt-LT"/>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Lapas1!$C$78</c:f>
              <c:strCache>
                <c:ptCount val="1"/>
                <c:pt idx="0">
                  <c:v>2021</c:v>
                </c:pt>
              </c:strCache>
            </c:strRef>
          </c:tx>
          <c:spPr>
            <a:solidFill>
              <a:schemeClr val="accent1"/>
            </a:solidFill>
            <a:ln>
              <a:noFill/>
            </a:ln>
            <a:effectLst/>
          </c:spPr>
          <c:invertIfNegative val="0"/>
          <c:dLbls>
            <c:spPr>
              <a:noFill/>
              <a:ln>
                <a:noFill/>
              </a:ln>
              <a:effectLst/>
            </c:spPr>
            <c:txPr>
              <a:bodyPr rot="-5400000" spcFirstLastPara="1" vertOverflow="clip" horzOverflow="clip" vert="horz" wrap="square" lIns="38100" tIns="19050" rIns="38100" bIns="19050" anchor="ctr" anchorCtr="1">
                <a:spAutoFit/>
              </a:bodyPr>
              <a:lstStyle/>
              <a:p>
                <a:pPr>
                  <a:defRPr sz="800" b="0" i="0" u="none" strike="noStrike" kern="1200" baseline="0">
                    <a:solidFill>
                      <a:schemeClr val="tx1">
                        <a:lumMod val="50000"/>
                        <a:lumOff val="50000"/>
                      </a:schemeClr>
                    </a:solidFill>
                    <a:latin typeface="+mn-lt"/>
                    <a:ea typeface="+mn-ea"/>
                    <a:cs typeface="+mn-cs"/>
                  </a:defRPr>
                </a:pPr>
                <a:endParaRPr lang="lt-LT"/>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Lapas1!$B$79:$B$82</c:f>
              <c:strCache>
                <c:ptCount val="4"/>
                <c:pt idx="0">
                  <c:v>Normalus</c:v>
                </c:pt>
                <c:pt idx="1">
                  <c:v>Per mažas</c:v>
                </c:pt>
                <c:pt idx="2">
                  <c:v>Antsvoris</c:v>
                </c:pt>
                <c:pt idx="3">
                  <c:v>Nutukimas</c:v>
                </c:pt>
              </c:strCache>
            </c:strRef>
          </c:cat>
          <c:val>
            <c:numRef>
              <c:f>Lapas1!$C$79:$C$82</c:f>
              <c:numCache>
                <c:formatCode>General</c:formatCode>
                <c:ptCount val="4"/>
                <c:pt idx="0">
                  <c:v>59.71</c:v>
                </c:pt>
                <c:pt idx="1">
                  <c:v>26.24</c:v>
                </c:pt>
                <c:pt idx="2">
                  <c:v>8.06</c:v>
                </c:pt>
                <c:pt idx="3">
                  <c:v>5.99</c:v>
                </c:pt>
              </c:numCache>
            </c:numRef>
          </c:val>
          <c:extLst>
            <c:ext xmlns:c16="http://schemas.microsoft.com/office/drawing/2014/chart" uri="{C3380CC4-5D6E-409C-BE32-E72D297353CC}">
              <c16:uniqueId val="{00000000-35A4-4CDC-BAA6-D276D80BA302}"/>
            </c:ext>
          </c:extLst>
        </c:ser>
        <c:ser>
          <c:idx val="1"/>
          <c:order val="1"/>
          <c:tx>
            <c:strRef>
              <c:f>Lapas1!$D$78</c:f>
              <c:strCache>
                <c:ptCount val="1"/>
                <c:pt idx="0">
                  <c:v>2022</c:v>
                </c:pt>
              </c:strCache>
            </c:strRef>
          </c:tx>
          <c:spPr>
            <a:solidFill>
              <a:schemeClr val="accent2"/>
            </a:solidFill>
            <a:ln>
              <a:noFill/>
            </a:ln>
            <a:effectLst/>
          </c:spPr>
          <c:invertIfNegative val="0"/>
          <c:dLbls>
            <c:spPr>
              <a:noFill/>
              <a:ln>
                <a:noFill/>
              </a:ln>
              <a:effectLst/>
            </c:spPr>
            <c:txPr>
              <a:bodyPr rot="-5400000" spcFirstLastPara="1" vertOverflow="clip" horzOverflow="clip" vert="horz" wrap="square" lIns="38100" tIns="19050" rIns="38100" bIns="19050" anchor="ctr" anchorCtr="1">
                <a:spAutoFit/>
              </a:bodyPr>
              <a:lstStyle/>
              <a:p>
                <a:pPr>
                  <a:defRPr sz="800" b="0" i="0" u="none" strike="noStrike" kern="1200" baseline="0">
                    <a:solidFill>
                      <a:schemeClr val="tx1">
                        <a:lumMod val="50000"/>
                        <a:lumOff val="50000"/>
                      </a:schemeClr>
                    </a:solidFill>
                    <a:latin typeface="+mn-lt"/>
                    <a:ea typeface="+mn-ea"/>
                    <a:cs typeface="+mn-cs"/>
                  </a:defRPr>
                </a:pPr>
                <a:endParaRPr lang="lt-LT"/>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Lapas1!$B$79:$B$82</c:f>
              <c:strCache>
                <c:ptCount val="4"/>
                <c:pt idx="0">
                  <c:v>Normalus</c:v>
                </c:pt>
                <c:pt idx="1">
                  <c:v>Per mažas</c:v>
                </c:pt>
                <c:pt idx="2">
                  <c:v>Antsvoris</c:v>
                </c:pt>
                <c:pt idx="3">
                  <c:v>Nutukimas</c:v>
                </c:pt>
              </c:strCache>
            </c:strRef>
          </c:cat>
          <c:val>
            <c:numRef>
              <c:f>Lapas1!$D$79:$D$82</c:f>
              <c:numCache>
                <c:formatCode>General</c:formatCode>
                <c:ptCount val="4"/>
                <c:pt idx="0">
                  <c:v>60.52</c:v>
                </c:pt>
                <c:pt idx="1">
                  <c:v>29.66</c:v>
                </c:pt>
                <c:pt idx="2">
                  <c:v>6.41</c:v>
                </c:pt>
                <c:pt idx="3">
                  <c:v>3.41</c:v>
                </c:pt>
              </c:numCache>
            </c:numRef>
          </c:val>
          <c:extLst>
            <c:ext xmlns:c16="http://schemas.microsoft.com/office/drawing/2014/chart" uri="{C3380CC4-5D6E-409C-BE32-E72D297353CC}">
              <c16:uniqueId val="{00000001-35A4-4CDC-BAA6-D276D80BA302}"/>
            </c:ext>
          </c:extLst>
        </c:ser>
        <c:ser>
          <c:idx val="2"/>
          <c:order val="2"/>
          <c:tx>
            <c:strRef>
              <c:f>Lapas1!$E$78</c:f>
              <c:strCache>
                <c:ptCount val="1"/>
                <c:pt idx="0">
                  <c:v>2023</c:v>
                </c:pt>
              </c:strCache>
            </c:strRef>
          </c:tx>
          <c:spPr>
            <a:solidFill>
              <a:schemeClr val="accent3"/>
            </a:solidFill>
            <a:ln>
              <a:noFill/>
            </a:ln>
            <a:effectLst/>
          </c:spPr>
          <c:invertIfNegative val="0"/>
          <c:dLbls>
            <c:spPr>
              <a:noFill/>
              <a:ln>
                <a:noFill/>
              </a:ln>
              <a:effectLst/>
            </c:spPr>
            <c:txPr>
              <a:bodyPr rot="-5400000" spcFirstLastPara="1" vertOverflow="clip" horzOverflow="clip" vert="horz" wrap="square" lIns="38100" tIns="19050" rIns="38100" bIns="19050" anchor="ctr" anchorCtr="1">
                <a:spAutoFit/>
              </a:bodyPr>
              <a:lstStyle/>
              <a:p>
                <a:pPr>
                  <a:defRPr sz="800" b="0" i="0" u="none" strike="noStrike" kern="1200" baseline="0">
                    <a:solidFill>
                      <a:schemeClr val="tx1">
                        <a:lumMod val="50000"/>
                        <a:lumOff val="50000"/>
                      </a:schemeClr>
                    </a:solidFill>
                    <a:latin typeface="+mn-lt"/>
                    <a:ea typeface="+mn-ea"/>
                    <a:cs typeface="+mn-cs"/>
                  </a:defRPr>
                </a:pPr>
                <a:endParaRPr lang="lt-LT"/>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Lapas1!$B$79:$B$82</c:f>
              <c:strCache>
                <c:ptCount val="4"/>
                <c:pt idx="0">
                  <c:v>Normalus</c:v>
                </c:pt>
                <c:pt idx="1">
                  <c:v>Per mažas</c:v>
                </c:pt>
                <c:pt idx="2">
                  <c:v>Antsvoris</c:v>
                </c:pt>
                <c:pt idx="3">
                  <c:v>Nutukimas</c:v>
                </c:pt>
              </c:strCache>
            </c:strRef>
          </c:cat>
          <c:val>
            <c:numRef>
              <c:f>Lapas1!$E$79:$E$82</c:f>
              <c:numCache>
                <c:formatCode>General</c:formatCode>
                <c:ptCount val="4"/>
                <c:pt idx="0">
                  <c:v>61.51</c:v>
                </c:pt>
                <c:pt idx="1">
                  <c:v>26.7</c:v>
                </c:pt>
                <c:pt idx="2">
                  <c:v>6.63</c:v>
                </c:pt>
                <c:pt idx="3">
                  <c:v>5.16</c:v>
                </c:pt>
              </c:numCache>
            </c:numRef>
          </c:val>
          <c:extLst>
            <c:ext xmlns:c16="http://schemas.microsoft.com/office/drawing/2014/chart" uri="{C3380CC4-5D6E-409C-BE32-E72D297353CC}">
              <c16:uniqueId val="{00000002-35A4-4CDC-BAA6-D276D80BA302}"/>
            </c:ext>
          </c:extLst>
        </c:ser>
        <c:dLbls>
          <c:dLblPos val="outEnd"/>
          <c:showLegendKey val="0"/>
          <c:showVal val="1"/>
          <c:showCatName val="0"/>
          <c:showSerName val="0"/>
          <c:showPercent val="0"/>
          <c:showBubbleSize val="0"/>
        </c:dLbls>
        <c:gapWidth val="444"/>
        <c:overlap val="-90"/>
        <c:axId val="373459936"/>
        <c:axId val="373465840"/>
      </c:barChart>
      <c:catAx>
        <c:axId val="373459936"/>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cap="all" spc="120" normalizeH="0" baseline="0">
                <a:solidFill>
                  <a:schemeClr val="tx1">
                    <a:lumMod val="65000"/>
                    <a:lumOff val="35000"/>
                  </a:schemeClr>
                </a:solidFill>
                <a:latin typeface="+mn-lt"/>
                <a:ea typeface="+mn-ea"/>
                <a:cs typeface="+mn-cs"/>
              </a:defRPr>
            </a:pPr>
            <a:endParaRPr lang="lt-LT"/>
          </a:p>
        </c:txPr>
        <c:crossAx val="373465840"/>
        <c:crosses val="autoZero"/>
        <c:auto val="1"/>
        <c:lblAlgn val="ctr"/>
        <c:lblOffset val="100"/>
        <c:noMultiLvlLbl val="0"/>
      </c:catAx>
      <c:valAx>
        <c:axId val="373465840"/>
        <c:scaling>
          <c:orientation val="minMax"/>
        </c:scaling>
        <c:delete val="1"/>
        <c:axPos val="l"/>
        <c:numFmt formatCode="General" sourceLinked="1"/>
        <c:majorTickMark val="none"/>
        <c:minorTickMark val="none"/>
        <c:tickLblPos val="nextTo"/>
        <c:crossAx val="373459936"/>
        <c:crosses val="autoZero"/>
        <c:crossBetween val="between"/>
      </c:valAx>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t-LT"/>
        </a:p>
      </c:txPr>
    </c:legend>
    <c:plotVisOnly val="1"/>
    <c:dispBlanksAs val="gap"/>
    <c:showDLblsOverMax val="0"/>
  </c:chart>
  <c:spPr>
    <a:solidFill>
      <a:schemeClr val="lt1"/>
    </a:solidFill>
    <a:ln w="9525" cap="flat" cmpd="sng" algn="ctr">
      <a:solidFill>
        <a:schemeClr val="tx1">
          <a:lumMod val="15000"/>
          <a:lumOff val="85000"/>
        </a:schemeClr>
      </a:solidFill>
      <a:round/>
    </a:ln>
    <a:effectLst/>
  </c:spPr>
  <c:txPr>
    <a:bodyPr/>
    <a:lstStyle/>
    <a:p>
      <a:pPr>
        <a:defRPr/>
      </a:pPr>
      <a:endParaRPr lang="lt-LT"/>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2">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800" kern="1200" cap="all" spc="120" normalizeH="0" baseline="0"/>
  </cs:categoryAxis>
  <cs:chartArea mods="allowNoFillOverride allowNoLineOverride">
    <cs:lnRef idx="0"/>
    <cs:fillRef idx="0"/>
    <cs:effectRef idx="0"/>
    <cs:fontRef idx="minor">
      <a:schemeClr val="dk1"/>
    </cs:fontRef>
    <cs:spPr>
      <a:solidFill>
        <a:schemeClr val="lt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50000"/>
        <a:lumOff val="50000"/>
      </a:schemeClr>
    </cs:fontRef>
    <cs:defRPr sz="800" b="0" i="0" u="none" strike="noStrike" kern="1200" baseline="0"/>
    <cs:bodyPr rot="-5400000" spcFirstLastPara="1" vertOverflow="clip" horzOverflow="clip" vert="horz" wrap="square" lIns="38100" tIns="19050" rIns="38100" bIns="19050" anchor="ctr" anchorCtr="1">
      <a:spAutoFit/>
    </cs:bodyPr>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phClr"/>
      </a:solidFill>
      <a:ln w="9525">
        <a:solidFill>
          <a:schemeClr val="phClr"/>
        </a:solidFill>
        <a:round/>
      </a:ln>
    </cs:spPr>
  </cs:dataPointMarker>
  <cs:dataPointMarkerLayout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15000"/>
            <a:lumOff val="85000"/>
          </a:schemeClr>
        </a:solidFill>
      </a:ln>
    </cs:spPr>
  </cs:downBar>
  <cs:dropLine>
    <cs:lnRef idx="0"/>
    <cs:fillRef idx="0"/>
    <cs:effectRef idx="0"/>
    <cs:fontRef idx="minor">
      <a:schemeClr val="dk1"/>
    </cs:fontRef>
    <cs:spPr>
      <a:ln w="9525">
        <a:solidFill>
          <a:schemeClr val="tx1">
            <a:lumMod val="35000"/>
            <a:lumOff val="65000"/>
          </a:schemeClr>
        </a:solidFill>
      </a:ln>
    </cs:spPr>
  </cs:dropLine>
  <cs:errorBar>
    <cs:lnRef idx="0"/>
    <cs:fillRef idx="0"/>
    <cs:effectRef idx="0"/>
    <cs:fontRef idx="minor">
      <a:schemeClr val="dk1"/>
    </cs:fontRef>
    <cs:spPr>
      <a:ln w="9525">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50000"/>
            <a:lumOff val="50000"/>
          </a:schemeClr>
        </a:solidFill>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spc="120" normalizeH="0" baseline="0"/>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8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spPr>
      <a:ln w="9525" cap="flat" cmpd="sng" algn="ctr">
        <a:solidFill>
          <a:schemeClr val="dk1">
            <a:lumMod val="15000"/>
            <a:lumOff val="85000"/>
          </a:schemeClr>
        </a:solidFill>
        <a:round/>
      </a:ln>
    </cs:spPr>
    <cs:defRPr sz="900" kern="1200"/>
  </cs:valueAxis>
  <cs:wall>
    <cs:lnRef idx="0"/>
    <cs:fillRef idx="0"/>
    <cs:effectRef idx="0"/>
    <cs:fontRef idx="minor">
      <a:schemeClr val="dk1"/>
    </cs:fontRef>
  </cs:wall>
</cs:chartStyle>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docProps/app.xml><?xml version="1.0" encoding="utf-8"?>
<Properties xmlns="http://schemas.openxmlformats.org/officeDocument/2006/extended-properties" xmlns:vt="http://schemas.openxmlformats.org/officeDocument/2006/docPropsVTypes">
  <Template>Normal</Template>
  <TotalTime>241</TotalTime>
  <Pages>7</Pages>
  <Words>3257</Words>
  <Characters>1858</Characters>
  <Application>Microsoft Office Word</Application>
  <DocSecurity>0</DocSecurity>
  <Lines>15</Lines>
  <Paragraphs>10</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5105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Aiste Gaisre</dc:creator>
  <cp:keywords/>
  <dc:description/>
  <cp:lastModifiedBy>Darbuotojas</cp:lastModifiedBy>
  <cp:revision>20</cp:revision>
  <dcterms:created xsi:type="dcterms:W3CDTF">2024-02-07T14:17:00Z</dcterms:created>
  <dcterms:modified xsi:type="dcterms:W3CDTF">2024-03-13T13:18:00Z</dcterms:modified>
</cp:coreProperties>
</file>